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6F" w:rsidRDefault="00237B6F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B4937" w:rsidRDefault="00E12E74" w:rsidP="004B4937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D71334">
        <w:rPr>
          <w:rFonts w:ascii="Arial" w:hAnsi="Arial" w:cs="Arial"/>
          <w:b/>
          <w:bCs/>
          <w:sz w:val="32"/>
          <w:szCs w:val="32"/>
        </w:rPr>
        <w:t>DESIGN REQUIREMENTS CHECKLIST</w:t>
      </w:r>
      <w:r w:rsidR="004B493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A2973" w:rsidRPr="004B4937" w:rsidRDefault="004B4937">
      <w:pPr>
        <w:rPr>
          <w:rFonts w:ascii="Arial" w:hAnsi="Arial" w:cs="Arial"/>
          <w:b/>
          <w:bCs/>
          <w:sz w:val="28"/>
          <w:szCs w:val="28"/>
        </w:rPr>
      </w:pPr>
      <w:r w:rsidRPr="004B4937">
        <w:rPr>
          <w:rFonts w:ascii="Arial" w:hAnsi="Arial" w:cs="Arial"/>
          <w:b/>
          <w:bCs/>
          <w:sz w:val="28"/>
          <w:szCs w:val="28"/>
        </w:rPr>
        <w:t>(</w:t>
      </w:r>
      <w:r w:rsidR="0060735C">
        <w:rPr>
          <w:rFonts w:ascii="Arial" w:hAnsi="Arial" w:cs="Arial"/>
          <w:b/>
          <w:bCs/>
          <w:sz w:val="28"/>
          <w:szCs w:val="28"/>
        </w:rPr>
        <w:t>Short Form</w:t>
      </w:r>
      <w:r w:rsidRPr="004B4937">
        <w:rPr>
          <w:rFonts w:ascii="Arial" w:hAnsi="Arial" w:cs="Arial"/>
          <w:b/>
          <w:bCs/>
          <w:sz w:val="28"/>
          <w:szCs w:val="28"/>
        </w:rPr>
        <w:t>)</w:t>
      </w:r>
    </w:p>
    <w:p w:rsidR="00D71334" w:rsidRDefault="00D71334">
      <w:pPr>
        <w:rPr>
          <w:rFonts w:ascii="Arial Narrow" w:hAnsi="Arial Narrow" w:cs="Times New Roman"/>
        </w:rPr>
      </w:pPr>
    </w:p>
    <w:p w:rsidR="00E12E74" w:rsidRDefault="00E12E74">
      <w:pPr>
        <w:rPr>
          <w:rFonts w:ascii="Arial Narrow" w:hAnsi="Arial Narrow" w:cs="Times New Roman"/>
        </w:rPr>
      </w:pPr>
      <w:r w:rsidRPr="008E0F0F">
        <w:rPr>
          <w:rFonts w:ascii="Arial Narrow" w:hAnsi="Arial Narrow" w:cs="Times New Roman"/>
        </w:rPr>
        <w:t xml:space="preserve">Please include this checklist with your drawings and specifications submitted for approval. The checklist part summarises the requirements of </w:t>
      </w:r>
      <w:r w:rsidR="00237B6F" w:rsidRPr="00237B6F">
        <w:rPr>
          <w:rFonts w:ascii="Arial Narrow" w:hAnsi="Arial Narrow" w:cs="Times New Roman"/>
        </w:rPr>
        <w:t>K</w:t>
      </w:r>
      <w:r w:rsidR="00C77CA6">
        <w:rPr>
          <w:rFonts w:ascii="Arial Narrow" w:hAnsi="Arial Narrow" w:cs="Times New Roman"/>
        </w:rPr>
        <w:t>ā</w:t>
      </w:r>
      <w:r w:rsidR="00237B6F" w:rsidRPr="00237B6F">
        <w:rPr>
          <w:rFonts w:ascii="Arial Narrow" w:hAnsi="Arial Narrow" w:cs="Times New Roman"/>
        </w:rPr>
        <w:t>piti Coast District Council</w:t>
      </w:r>
      <w:r w:rsidR="00237B6F">
        <w:rPr>
          <w:rFonts w:ascii="Arial Narrow" w:hAnsi="Arial Narrow" w:cs="Times New Roman"/>
        </w:rPr>
        <w:t>’s</w:t>
      </w:r>
      <w:r w:rsidRPr="008E0F0F">
        <w:rPr>
          <w:rFonts w:ascii="Arial Narrow" w:hAnsi="Arial Narrow" w:cs="Times New Roman"/>
        </w:rPr>
        <w:t xml:space="preserve"> Subdivision and Development Principles and Requirements (SDPR). </w:t>
      </w:r>
      <w:r w:rsidR="004B4937">
        <w:rPr>
          <w:rFonts w:ascii="Arial Narrow" w:hAnsi="Arial Narrow" w:cs="Times New Roman"/>
        </w:rPr>
        <w:t>This may be used</w:t>
      </w:r>
      <w:r w:rsidRPr="008E0F0F">
        <w:rPr>
          <w:rFonts w:ascii="Arial Narrow" w:hAnsi="Arial Narrow" w:cs="Times New Roman"/>
        </w:rPr>
        <w:t xml:space="preserve"> for small scale developments.</w:t>
      </w:r>
    </w:p>
    <w:p w:rsidR="00237B6F" w:rsidRPr="008E0F0F" w:rsidRDefault="00237B6F">
      <w:pPr>
        <w:rPr>
          <w:rFonts w:ascii="Arial Narrow" w:hAnsi="Arial Narrow" w:cs="Times New Roman"/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7"/>
        <w:gridCol w:w="657"/>
        <w:gridCol w:w="8320"/>
      </w:tblGrid>
      <w:tr w:rsidR="003A667C" w:rsidRPr="008E0F0F" w:rsidTr="00237B6F">
        <w:trPr>
          <w:tblHeader/>
        </w:trPr>
        <w:tc>
          <w:tcPr>
            <w:tcW w:w="657" w:type="dxa"/>
          </w:tcPr>
          <w:p w:rsidR="003A667C" w:rsidRPr="008E0F0F" w:rsidRDefault="003A667C" w:rsidP="003A66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N/A</w:t>
            </w:r>
          </w:p>
        </w:tc>
        <w:tc>
          <w:tcPr>
            <w:tcW w:w="657" w:type="dxa"/>
          </w:tcPr>
          <w:p w:rsidR="003A667C" w:rsidRPr="008E0F0F" w:rsidRDefault="003A667C" w:rsidP="003A66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YES</w:t>
            </w:r>
          </w:p>
        </w:tc>
        <w:tc>
          <w:tcPr>
            <w:tcW w:w="8320" w:type="dxa"/>
          </w:tcPr>
          <w:p w:rsidR="003A667C" w:rsidRPr="003A667C" w:rsidRDefault="003A667C">
            <w:pPr>
              <w:rPr>
                <w:rFonts w:ascii="Arial Narrow" w:hAnsi="Arial Narrow"/>
                <w:caps/>
              </w:rPr>
            </w:pPr>
            <w:r w:rsidRPr="003A667C">
              <w:rPr>
                <w:rFonts w:ascii="Arial Narrow" w:hAnsi="Arial Narrow" w:cs="Times New Roman"/>
                <w:b/>
                <w:bCs/>
                <w:caps/>
              </w:rPr>
              <w:t>Item</w:t>
            </w:r>
          </w:p>
        </w:tc>
      </w:tr>
      <w:tr w:rsidR="00D71334" w:rsidRPr="008E0F0F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D71334" w:rsidRPr="008E0F0F" w:rsidRDefault="00D71334" w:rsidP="00237B6F">
            <w:pPr>
              <w:tabs>
                <w:tab w:val="left" w:pos="1161"/>
              </w:tabs>
              <w:jc w:val="center"/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General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32146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1697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</w:rPr>
              <w:t>Design certificate submitted in accordance with Schedule 1A of NZS 4404.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56704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4240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</w:rPr>
              <w:t>Design meets performance criteria. (Refer Part 3B (ix) of the SDPR).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42298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4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</w:rPr>
              <w:t>Alternative designs supported by appropriate information. (Refer Clause 1.5.3.2 of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8E0F0F">
              <w:rPr>
                <w:rFonts w:ascii="Arial Narrow" w:hAnsi="Arial Narrow" w:cs="Times New Roman"/>
              </w:rPr>
              <w:t>NZS 4404)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72707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7965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Documents provided as listed in Clause 1.5.1.1 of NZS 4404.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9435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05327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Drawings provided in accordance with Clause 1.5.2 of NZS 4404.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13810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13362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Two copies of drawings, specifications &amp; calculations provided.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2428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5784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 xml:space="preserve">Health &amp; Safety requirements </w:t>
            </w:r>
            <w:r w:rsidR="004B4937">
              <w:rPr>
                <w:rFonts w:ascii="Arial Narrow" w:hAnsi="Arial Narrow" w:cs="Times New Roman"/>
              </w:rPr>
              <w:t>met</w:t>
            </w:r>
            <w:r w:rsidRPr="008E0F0F">
              <w:rPr>
                <w:rFonts w:ascii="Arial Narrow" w:hAnsi="Arial Narrow" w:cs="Times New Roman"/>
              </w:rPr>
              <w:t>. Refer Part 3B (v) of the SDPR)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08683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27175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 xml:space="preserve">Working in the Road requirements </w:t>
            </w:r>
            <w:r w:rsidR="004B4937">
              <w:rPr>
                <w:rFonts w:ascii="Arial Narrow" w:hAnsi="Arial Narrow" w:cs="Times New Roman"/>
              </w:rPr>
              <w:t>met</w:t>
            </w:r>
            <w:r w:rsidRPr="008E0F0F">
              <w:rPr>
                <w:rFonts w:ascii="Arial Narrow" w:hAnsi="Arial Narrow" w:cs="Times New Roman"/>
              </w:rPr>
              <w:t>. (Refer Part 3B (viii) of the SDPR).</w:t>
            </w:r>
          </w:p>
        </w:tc>
      </w:tr>
      <w:tr w:rsidR="00237B6F" w:rsidRPr="008E0F0F" w:rsidTr="00237B6F">
        <w:tc>
          <w:tcPr>
            <w:tcW w:w="9634" w:type="dxa"/>
            <w:gridSpan w:val="3"/>
            <w:shd w:val="clear" w:color="auto" w:fill="D9D9D9" w:themeFill="background1" w:themeFillShade="D9"/>
          </w:tcPr>
          <w:p w:rsidR="00237B6F" w:rsidRPr="008E0F0F" w:rsidRDefault="00237B6F" w:rsidP="00237B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Geotechnical and Earthworks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68317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1168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Geotechnical report recommendations incorporated in design and specifications.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97613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8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Landform modified to the least extent practicable. (Refer clause 2.4.1 NZS 4404).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5753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39947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D71334" w:rsidRPr="008E0F0F" w:rsidTr="00D71334">
        <w:trPr>
          <w:trHeight w:val="221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D71334" w:rsidRPr="008E0F0F" w:rsidRDefault="004B4937" w:rsidP="00237B6F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Access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20325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2580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4B4937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Access</w:t>
            </w:r>
            <w:r w:rsidR="00D71334" w:rsidRPr="008E0F0F">
              <w:rPr>
                <w:rFonts w:ascii="Arial Narrow" w:hAnsi="Arial Narrow" w:cs="Times New Roman"/>
              </w:rPr>
              <w:t xml:space="preserve"> design is in accordance with clauses 3.3.17 and 3.3.18 of NZS 4404.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1672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850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Vehicle crossings located and designed in accordance with clause 3.3.19 of NZS 4404.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41639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3371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Trap sumps detailed (WCC or similar approved).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54810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0799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D71334" w:rsidRPr="008E0F0F" w:rsidTr="00237B6F">
        <w:trPr>
          <w:trHeight w:val="23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D71334" w:rsidRPr="008E0F0F" w:rsidRDefault="00D71334" w:rsidP="00237B6F">
            <w:pPr>
              <w:tabs>
                <w:tab w:val="left" w:pos="121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8E0F0F">
              <w:rPr>
                <w:rFonts w:ascii="Arial Narrow" w:hAnsi="Arial Narrow" w:cs="Times New Roman"/>
                <w:b/>
                <w:bCs/>
              </w:rPr>
              <w:t>Stormwater</w:t>
            </w:r>
            <w:proofErr w:type="spellEnd"/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2104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5565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pipe sizes in accordance with paragraph 6 of Schedule 4 Part 4 of the SDPR.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6269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675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cover in accordance with paragraph 7 of Schedule 4 Part 4 of the SDPR.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91867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85299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On-site disposal/re-use used where appropriate.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55837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66111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D71334" w:rsidRPr="008E0F0F" w:rsidTr="00A11CB3">
        <w:tc>
          <w:tcPr>
            <w:tcW w:w="9634" w:type="dxa"/>
            <w:gridSpan w:val="3"/>
            <w:shd w:val="clear" w:color="auto" w:fill="D9D9D9" w:themeFill="background1" w:themeFillShade="D9"/>
          </w:tcPr>
          <w:p w:rsidR="00D71334" w:rsidRPr="008E0F0F" w:rsidRDefault="00D71334" w:rsidP="00237B6F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Wastewater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72637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36756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All lots provided a connection to Council system where available.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2401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316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clearances from other services in accordance with clause 5.3.3 of NZS 4404.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88485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58511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pipe sizes in accordance with clause 5.3.5.3 of NZS 4404.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1698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61961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grades in accordance with clause 5.3.5.5 of NZS 4404.</w:t>
            </w:r>
          </w:p>
        </w:tc>
      </w:tr>
      <w:tr w:rsidR="00D71334" w:rsidRPr="008E0F0F" w:rsidTr="004B4937">
        <w:trPr>
          <w:trHeight w:val="186"/>
        </w:trPr>
        <w:sdt>
          <w:sdtPr>
            <w:rPr>
              <w:rFonts w:ascii="Arial Narrow" w:hAnsi="Arial Narrow" w:cs="Times New Roman"/>
              <w:b/>
              <w:bCs/>
            </w:rPr>
            <w:id w:val="15117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12662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cover in accordance with paragraph 6 of Schedule 5 Part 4 of the SDPR.</w:t>
            </w:r>
          </w:p>
        </w:tc>
      </w:tr>
      <w:tr w:rsidR="004B4937" w:rsidRPr="008E0F0F" w:rsidTr="00755A39">
        <w:trPr>
          <w:trHeight w:val="318"/>
        </w:trPr>
        <w:sdt>
          <w:sdtPr>
            <w:rPr>
              <w:rFonts w:ascii="Arial Narrow" w:hAnsi="Arial Narrow" w:cs="Times New Roman"/>
              <w:b/>
              <w:bCs/>
            </w:rPr>
            <w:id w:val="-158590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93508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Maintenance structure locations, deflections and internal falls in accordance with Part 5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8E0F0F">
              <w:rPr>
                <w:rFonts w:ascii="Arial Narrow" w:hAnsi="Arial Narrow" w:cs="Times New Roman"/>
              </w:rPr>
              <w:t>of NZS 4404.</w:t>
            </w:r>
          </w:p>
        </w:tc>
      </w:tr>
      <w:tr w:rsidR="004B4937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5835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34028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4B4937" w:rsidRPr="008E0F0F" w:rsidTr="00435686">
        <w:tc>
          <w:tcPr>
            <w:tcW w:w="9634" w:type="dxa"/>
            <w:gridSpan w:val="3"/>
            <w:shd w:val="clear" w:color="auto" w:fill="D9D9D9" w:themeFill="background1" w:themeFillShade="D9"/>
          </w:tcPr>
          <w:p w:rsidR="004B4937" w:rsidRPr="008E0F0F" w:rsidRDefault="004B4937" w:rsidP="004B4937">
            <w:pPr>
              <w:tabs>
                <w:tab w:val="left" w:pos="119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Water Supply</w:t>
            </w:r>
          </w:p>
        </w:tc>
      </w:tr>
      <w:tr w:rsidR="004B4937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05705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99191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</w:rPr>
              <w:t>Fire</w:t>
            </w:r>
            <w:r w:rsidRPr="008E0F0F">
              <w:rPr>
                <w:rFonts w:ascii="Arial Narrow" w:hAnsi="Arial Narrow" w:cs="Times New Roman"/>
              </w:rPr>
              <w:t>fighting water supply meets NZ Fire Service Code of Practice SNZ PAS 4509:2003</w:t>
            </w:r>
          </w:p>
        </w:tc>
      </w:tr>
      <w:tr w:rsidR="004B4937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9230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5211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All lots provided with a connection. Refer paragraph 8 of Schedule 6 Part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8E0F0F">
              <w:rPr>
                <w:rFonts w:ascii="Arial Narrow" w:hAnsi="Arial Narrow" w:cs="Times New Roman"/>
              </w:rPr>
              <w:t>4 of the SDPR</w:t>
            </w:r>
          </w:p>
        </w:tc>
      </w:tr>
      <w:tr w:rsidR="004B4937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69566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86855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clearances from other services in accordance with clause 6.3.13 of NZS 4404.</w:t>
            </w:r>
          </w:p>
        </w:tc>
      </w:tr>
      <w:tr w:rsidR="004B4937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21254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6104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On site storage requirements established. (Minimum 25k litres, 50k litres recommended)</w:t>
            </w:r>
          </w:p>
        </w:tc>
      </w:tr>
      <w:tr w:rsidR="004B4937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70502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930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60735C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4B4937" w:rsidRPr="008E0F0F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4B4937" w:rsidRPr="008E0F0F" w:rsidRDefault="004B4937" w:rsidP="004B4937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lastRenderedPageBreak/>
              <w:t>Landscape Design</w:t>
            </w:r>
          </w:p>
        </w:tc>
      </w:tr>
      <w:tr w:rsidR="004B4937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95189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79363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4B4937" w:rsidRPr="00D71334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4B4937" w:rsidRPr="008E0F0F" w:rsidRDefault="004B4937" w:rsidP="004B4937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Power, Telecommunications, Gas</w:t>
            </w:r>
          </w:p>
        </w:tc>
      </w:tr>
      <w:tr w:rsidR="004B4937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5935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7338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Service positions meet typical cross section detail or alternatives approved by KCDC.</w:t>
            </w:r>
          </w:p>
        </w:tc>
      </w:tr>
      <w:tr w:rsidR="004B4937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45105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32003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4B493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Working in the Road requirements met.</w:t>
            </w:r>
          </w:p>
        </w:tc>
      </w:tr>
      <w:tr w:rsidR="004B4937" w:rsidRPr="00D71334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4B4937" w:rsidRPr="008E0F0F" w:rsidRDefault="004B4937" w:rsidP="004B4937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Standard Construction Drawings</w:t>
            </w:r>
          </w:p>
        </w:tc>
      </w:tr>
      <w:tr w:rsidR="004B4937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3918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45976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B4937" w:rsidRPr="008E0F0F" w:rsidRDefault="004B4937" w:rsidP="004B4937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4B4937" w:rsidRPr="008E0F0F" w:rsidRDefault="004B4937" w:rsidP="0060735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Standard details from Appendix</w:t>
            </w:r>
            <w:r w:rsidR="0060735C">
              <w:rPr>
                <w:rFonts w:ascii="Arial Narrow" w:hAnsi="Arial Narrow" w:cs="Times New Roman"/>
              </w:rPr>
              <w:t xml:space="preserve"> A, NZS 4404 used (unless otherwise </w:t>
            </w:r>
            <w:r w:rsidRPr="008E0F0F">
              <w:rPr>
                <w:rFonts w:ascii="Arial Narrow" w:hAnsi="Arial Narrow" w:cs="Times New Roman"/>
              </w:rPr>
              <w:t>specified).</w:t>
            </w:r>
          </w:p>
        </w:tc>
      </w:tr>
    </w:tbl>
    <w:p w:rsidR="00E12E74" w:rsidRPr="008E0F0F" w:rsidRDefault="00E12E74" w:rsidP="00237B6F">
      <w:pPr>
        <w:rPr>
          <w:rFonts w:ascii="Arial Narrow" w:hAnsi="Arial Narrow"/>
        </w:rPr>
      </w:pPr>
    </w:p>
    <w:sectPr w:rsidR="00E12E74" w:rsidRPr="008E0F0F" w:rsidSect="00237B6F">
      <w:footerReference w:type="default" r:id="rId6"/>
      <w:headerReference w:type="first" r:id="rId7"/>
      <w:footerReference w:type="first" r:id="rId8"/>
      <w:pgSz w:w="11906" w:h="16838"/>
      <w:pgMar w:top="1276" w:right="1134" w:bottom="1134" w:left="1134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39" w:rsidRDefault="00755A39" w:rsidP="00755A39">
      <w:pPr>
        <w:spacing w:after="0" w:line="240" w:lineRule="auto"/>
      </w:pPr>
      <w:r>
        <w:separator/>
      </w:r>
    </w:p>
  </w:endnote>
  <w:endnote w:type="continuationSeparator" w:id="0">
    <w:p w:rsidR="00755A39" w:rsidRDefault="00755A39" w:rsidP="007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Pr="00237B6F" w:rsidRDefault="00237B6F">
    <w:pPr>
      <w:pStyle w:val="Footer"/>
      <w:rPr>
        <w:rFonts w:ascii="Arial" w:hAnsi="Arial" w:cs="Arial"/>
        <w:sz w:val="16"/>
        <w:szCs w:val="16"/>
      </w:rPr>
    </w:pPr>
    <w:r w:rsidRPr="00237B6F">
      <w:rPr>
        <w:rFonts w:ascii="Arial" w:hAnsi="Arial" w:cs="Arial"/>
        <w:sz w:val="16"/>
        <w:szCs w:val="16"/>
      </w:rPr>
      <w:t>RCC Form 09</w:t>
    </w:r>
    <w:r w:rsidR="0060735C">
      <w:rPr>
        <w:rFonts w:ascii="Arial" w:hAnsi="Arial" w:cs="Arial"/>
        <w:sz w:val="16"/>
        <w:szCs w:val="16"/>
      </w:rPr>
      <w:t>4</w:t>
    </w:r>
    <w:r w:rsidRPr="00237B6F">
      <w:rPr>
        <w:rFonts w:ascii="Arial" w:hAnsi="Arial" w:cs="Arial"/>
        <w:sz w:val="16"/>
        <w:szCs w:val="16"/>
      </w:rPr>
      <w:t xml:space="preserve"> Design Requirements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Pr="00237B6F" w:rsidRDefault="0060735C" w:rsidP="00237B6F">
    <w:pPr>
      <w:pStyle w:val="Footer"/>
      <w:tabs>
        <w:tab w:val="clear" w:pos="9026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RCC Form 094</w:t>
    </w:r>
    <w:r w:rsidR="00237B6F" w:rsidRPr="00237B6F">
      <w:rPr>
        <w:rFonts w:ascii="Arial" w:hAnsi="Arial" w:cs="Arial"/>
        <w:sz w:val="16"/>
        <w:szCs w:val="16"/>
      </w:rPr>
      <w:t xml:space="preserve"> Design Requirements Checklist</w:t>
    </w:r>
    <w:r>
      <w:rPr>
        <w:rFonts w:ascii="Arial" w:hAnsi="Arial" w:cs="Arial"/>
        <w:sz w:val="16"/>
        <w:szCs w:val="16"/>
      </w:rPr>
      <w:t xml:space="preserve"> (Short Form)</w:t>
    </w:r>
    <w:r w:rsidR="00237B6F">
      <w:rPr>
        <w:rFonts w:ascii="Arial" w:hAnsi="Arial" w:cs="Arial"/>
        <w:sz w:val="16"/>
        <w:szCs w:val="16"/>
      </w:rPr>
      <w:tab/>
    </w:r>
    <w:r w:rsidR="00237B6F">
      <w:rPr>
        <w:rFonts w:ascii="Arial" w:hAnsi="Arial" w:cs="Arial"/>
        <w:sz w:val="16"/>
        <w:szCs w:val="16"/>
      </w:rPr>
      <w:tab/>
    </w:r>
    <w:r w:rsidR="00237B6F" w:rsidRPr="00237B6F">
      <w:rPr>
        <w:rFonts w:ascii="Arial" w:hAnsi="Arial" w:cs="Arial"/>
        <w:sz w:val="16"/>
        <w:szCs w:val="16"/>
      </w:rPr>
      <w:fldChar w:fldCharType="begin"/>
    </w:r>
    <w:r w:rsidR="00237B6F" w:rsidRPr="00237B6F">
      <w:rPr>
        <w:rFonts w:ascii="Arial" w:hAnsi="Arial" w:cs="Arial"/>
        <w:sz w:val="16"/>
        <w:szCs w:val="16"/>
      </w:rPr>
      <w:instrText xml:space="preserve"> PAGE   \* MERGEFORMAT </w:instrText>
    </w:r>
    <w:r w:rsidR="00237B6F" w:rsidRPr="00237B6F">
      <w:rPr>
        <w:rFonts w:ascii="Arial" w:hAnsi="Arial" w:cs="Arial"/>
        <w:sz w:val="16"/>
        <w:szCs w:val="16"/>
      </w:rPr>
      <w:fldChar w:fldCharType="separate"/>
    </w:r>
    <w:r w:rsidR="00FD324A">
      <w:rPr>
        <w:rFonts w:ascii="Arial" w:hAnsi="Arial" w:cs="Arial"/>
        <w:noProof/>
        <w:sz w:val="16"/>
        <w:szCs w:val="16"/>
      </w:rPr>
      <w:t>1</w:t>
    </w:r>
    <w:r w:rsidR="00237B6F" w:rsidRPr="00237B6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39" w:rsidRDefault="00755A39" w:rsidP="00755A39">
      <w:pPr>
        <w:spacing w:after="0" w:line="240" w:lineRule="auto"/>
      </w:pPr>
      <w:r>
        <w:separator/>
      </w:r>
    </w:p>
  </w:footnote>
  <w:footnote w:type="continuationSeparator" w:id="0">
    <w:p w:rsidR="00755A39" w:rsidRDefault="00755A39" w:rsidP="007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Default="00237B6F">
    <w:pPr>
      <w:pStyle w:val="Header"/>
    </w:pPr>
    <w:r w:rsidRPr="00753EDC">
      <w:rPr>
        <w:rFonts w:ascii="Arial" w:hAnsi="Arial"/>
        <w:i/>
        <w:noProof/>
        <w:sz w:val="16"/>
        <w:lang w:eastAsia="en-NZ"/>
      </w:rPr>
      <w:drawing>
        <wp:anchor distT="0" distB="0" distL="114300" distR="114300" simplePos="0" relativeHeight="251659264" behindDoc="0" locked="0" layoutInCell="1" allowOverlap="1" wp14:anchorId="11C36432" wp14:editId="0FE783C6">
          <wp:simplePos x="0" y="0"/>
          <wp:positionH relativeFrom="margin">
            <wp:align>right</wp:align>
          </wp:positionH>
          <wp:positionV relativeFrom="paragraph">
            <wp:posOffset>123428</wp:posOffset>
          </wp:positionV>
          <wp:extent cx="1455420" cy="662940"/>
          <wp:effectExtent l="0" t="0" r="0" b="3810"/>
          <wp:wrapSquare wrapText="bothSides"/>
          <wp:docPr id="3" name="Picture 3" descr="KCDC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DC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74"/>
    <w:rsid w:val="00237B6F"/>
    <w:rsid w:val="003A667C"/>
    <w:rsid w:val="004126DD"/>
    <w:rsid w:val="004B4937"/>
    <w:rsid w:val="0060735C"/>
    <w:rsid w:val="00755A39"/>
    <w:rsid w:val="008E0F0F"/>
    <w:rsid w:val="00BC04A5"/>
    <w:rsid w:val="00C453CE"/>
    <w:rsid w:val="00C77CA6"/>
    <w:rsid w:val="00CA2973"/>
    <w:rsid w:val="00D71334"/>
    <w:rsid w:val="00E056AA"/>
    <w:rsid w:val="00E12E74"/>
    <w:rsid w:val="00F120FD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BBE863-84B2-4583-8EE3-4C0938F8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04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39"/>
  </w:style>
  <w:style w:type="paragraph" w:styleId="Footer">
    <w:name w:val="footer"/>
    <w:basedOn w:val="Normal"/>
    <w:link w:val="FooterChar"/>
    <w:uiPriority w:val="99"/>
    <w:unhideWhenUsed/>
    <w:rsid w:val="0075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E26AF8AA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McCoy</dc:creator>
  <cp:keywords/>
  <dc:description/>
  <cp:lastModifiedBy>Paula Fletcher</cp:lastModifiedBy>
  <cp:revision>2</cp:revision>
  <dcterms:created xsi:type="dcterms:W3CDTF">2019-01-21T23:29:00Z</dcterms:created>
  <dcterms:modified xsi:type="dcterms:W3CDTF">2019-01-21T23:29:00Z</dcterms:modified>
</cp:coreProperties>
</file>