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386BC2" w:rsidRPr="008D20DD" w:rsidRDefault="00386BC2" w:rsidP="00386BC2">
      <w:pPr>
        <w:pStyle w:val="Fileno"/>
        <w:jc w:val="both"/>
        <w:rPr>
          <w:b/>
        </w:rPr>
      </w:pPr>
      <w:r w:rsidRPr="008D20DD">
        <w:rPr>
          <w:b/>
        </w:rPr>
        <w:fldChar w:fldCharType="begin"/>
      </w:r>
      <w:r w:rsidRPr="008D20DD">
        <w:rPr>
          <w:b/>
        </w:rPr>
        <w:instrText xml:space="preserve"> DOCVARIABLE  Addressee </w:instrText>
      </w:r>
      <w:r w:rsidRPr="008D20DD">
        <w:rPr>
          <w:b/>
        </w:rPr>
        <w:fldChar w:fldCharType="separate"/>
      </w:r>
      <w:r w:rsidR="000E6E80">
        <w:rPr>
          <w:b/>
        </w:rPr>
        <w:t>Chairperson and Committee Members</w:t>
      </w:r>
      <w:r w:rsidRPr="008D20DD">
        <w:rPr>
          <w:b/>
        </w:rPr>
        <w:fldChar w:fldCharType="end"/>
      </w:r>
    </w:p>
    <w:bookmarkEnd w:id="0"/>
    <w:p w:rsidR="00386BC2" w:rsidRPr="00ED3EE1" w:rsidRDefault="00386BC2" w:rsidP="00386BC2">
      <w:pPr>
        <w:pStyle w:val="commitee"/>
        <w:spacing w:after="120"/>
        <w:rPr>
          <w:b w:val="0"/>
        </w:rPr>
      </w:pPr>
      <w:r w:rsidRPr="00ED3EE1">
        <w:rPr>
          <w:b w:val="0"/>
        </w:rPr>
        <w:fldChar w:fldCharType="begin"/>
      </w:r>
      <w:r w:rsidRPr="00ED3EE1">
        <w:rPr>
          <w:b w:val="0"/>
        </w:rPr>
        <w:instrText xml:space="preserve"> DOCVARIABLE  Committee </w:instrText>
      </w:r>
      <w:r w:rsidRPr="00ED3EE1">
        <w:rPr>
          <w:b w:val="0"/>
        </w:rPr>
        <w:fldChar w:fldCharType="separate"/>
      </w:r>
      <w:r w:rsidR="000E6E80">
        <w:rPr>
          <w:b w:val="0"/>
        </w:rPr>
        <w:t>Operations &amp; Finance Committee</w:t>
      </w:r>
      <w:r w:rsidRPr="00ED3EE1">
        <w:rPr>
          <w:b w:val="0"/>
        </w:rPr>
        <w:fldChar w:fldCharType="end"/>
      </w:r>
    </w:p>
    <w:p w:rsidR="00386BC2" w:rsidRPr="00780013" w:rsidRDefault="00386BC2" w:rsidP="00386BC2">
      <w:pPr>
        <w:pStyle w:val="Fileno"/>
        <w:spacing w:after="240"/>
        <w:jc w:val="right"/>
        <w:rPr>
          <w:rFonts w:cs="Arial"/>
          <w:b/>
          <w:caps/>
        </w:rPr>
      </w:pPr>
      <w:r w:rsidRPr="00780013">
        <w:rPr>
          <w:rFonts w:cs="Arial"/>
          <w:b/>
          <w:caps/>
        </w:rPr>
        <w:fldChar w:fldCharType="begin"/>
      </w:r>
      <w:r w:rsidRPr="00780013">
        <w:rPr>
          <w:rFonts w:cs="Arial"/>
          <w:b/>
          <w:caps/>
        </w:rPr>
        <w:instrText xml:space="preserve"> DOCVARIABLE  Date_Of_Meeting  \* MERGEFORMAT </w:instrText>
      </w:r>
      <w:r w:rsidRPr="00780013">
        <w:rPr>
          <w:rFonts w:cs="Arial"/>
          <w:b/>
          <w:caps/>
        </w:rPr>
        <w:fldChar w:fldCharType="separate"/>
      </w:r>
      <w:r w:rsidR="000E6E80" w:rsidRPr="000E6E80">
        <w:rPr>
          <w:rFonts w:cs="Arial"/>
          <w:bCs/>
          <w:caps/>
          <w:lang w:val="en-US"/>
        </w:rPr>
        <w:t>15 August 2019</w:t>
      </w:r>
      <w:r w:rsidRPr="00780013">
        <w:rPr>
          <w:rFonts w:cs="Arial"/>
          <w:b/>
          <w:caps/>
        </w:rPr>
        <w:fldChar w:fldCharType="end"/>
      </w:r>
    </w:p>
    <w:p w:rsidR="00386BC2" w:rsidRDefault="00386BC2" w:rsidP="00386BC2">
      <w:pPr>
        <w:pStyle w:val="Fileno"/>
        <w:spacing w:after="240"/>
        <w:jc w:val="right"/>
      </w:pPr>
      <w:r>
        <w:t>Meeting Status</w:t>
      </w:r>
      <w:r w:rsidRPr="0080344A">
        <w:t>:</w:t>
      </w:r>
      <w:r>
        <w:t xml:space="preserve"> </w:t>
      </w:r>
      <w:r w:rsidR="000A3F52">
        <w:fldChar w:fldCharType="begin"/>
      </w:r>
      <w:r w:rsidR="000A3F52">
        <w:instrText xml:space="preserve"> DOCVARIABLE  "Exclusion" \* MERGEFORMAT </w:instrText>
      </w:r>
      <w:r w:rsidR="000A3F52">
        <w:fldChar w:fldCharType="separate"/>
      </w:r>
      <w:r w:rsidR="000E6E80" w:rsidRPr="000E6E80">
        <w:rPr>
          <w:b/>
          <w:bCs/>
          <w:lang w:val="en-US"/>
        </w:rPr>
        <w:t>Public</w:t>
      </w:r>
      <w:r w:rsidR="000A3F52">
        <w:rPr>
          <w:b/>
          <w:bCs/>
          <w:lang w:val="en-US"/>
        </w:rPr>
        <w:fldChar w:fldCharType="end"/>
      </w:r>
    </w:p>
    <w:p w:rsidR="00386BC2" w:rsidRPr="0080344A" w:rsidRDefault="00386BC2" w:rsidP="00386BC2">
      <w:pPr>
        <w:pStyle w:val="Fileno"/>
        <w:spacing w:after="240"/>
        <w:jc w:val="right"/>
      </w:pPr>
      <w:r>
        <w:t>Purpose of Report:</w:t>
      </w:r>
      <w:r w:rsidR="000A3F52">
        <w:fldChar w:fldCharType="begin"/>
      </w:r>
      <w:r w:rsidR="000A3F52">
        <w:instrText xml:space="preserve"> DOCVARIABLE  Purpose  \* MERGEFORMAT </w:instrText>
      </w:r>
      <w:r w:rsidR="000A3F52">
        <w:fldChar w:fldCharType="separate"/>
      </w:r>
      <w:r w:rsidR="000E6E80">
        <w:t xml:space="preserve"> For Information</w:t>
      </w:r>
      <w:r w:rsidR="000A3F52">
        <w:fldChar w:fldCharType="end"/>
      </w:r>
    </w:p>
    <w:p w:rsidR="00386BC2" w:rsidRPr="00257D54" w:rsidRDefault="00FD1062" w:rsidP="000E6E80">
      <w:pPr>
        <w:pStyle w:val="Rpt-Title"/>
      </w:pPr>
      <w:fldSimple w:instr=" DOCVARIABLE  Title ">
        <w:r w:rsidR="000E6E80">
          <w:t>Annual Alcohol Licensing Report 2018/19</w:t>
        </w:r>
      </w:fldSimple>
    </w:p>
    <w:p w:rsidR="00386BC2" w:rsidRDefault="00386BC2" w:rsidP="00386BC2">
      <w:pPr>
        <w:pStyle w:val="Heading1"/>
        <w:rPr>
          <w:lang w:val="en-NZ"/>
        </w:rPr>
      </w:pPr>
    </w:p>
    <w:p w:rsidR="00386BC2" w:rsidRPr="00DC10B4" w:rsidRDefault="00386BC2" w:rsidP="00386BC2">
      <w:pPr>
        <w:pStyle w:val="Heading1"/>
        <w:rPr>
          <w:lang w:val="en-NZ"/>
        </w:rPr>
      </w:pPr>
      <w:r w:rsidRPr="00DC10B4">
        <w:rPr>
          <w:lang w:val="en-NZ"/>
        </w:rPr>
        <w:t>P</w:t>
      </w:r>
      <w:r>
        <w:rPr>
          <w:lang w:val="en-NZ"/>
        </w:rPr>
        <w:t>urpose of report</w:t>
      </w:r>
    </w:p>
    <w:p w:rsidR="00386BC2" w:rsidRDefault="000E6E80" w:rsidP="00386BC2">
      <w:pPr>
        <w:pStyle w:val="BodyText"/>
        <w:numPr>
          <w:ilvl w:val="0"/>
          <w:numId w:val="18"/>
        </w:numPr>
        <w:rPr>
          <w:lang w:val="en-NZ"/>
        </w:rPr>
      </w:pPr>
      <w:r>
        <w:rPr>
          <w:lang w:val="en-NZ"/>
        </w:rPr>
        <w:t xml:space="preserve">To </w:t>
      </w:r>
      <w:r w:rsidR="00A40CE3">
        <w:rPr>
          <w:lang w:val="en-NZ"/>
        </w:rPr>
        <w:t>provide</w:t>
      </w:r>
      <w:r w:rsidR="008523B1">
        <w:rPr>
          <w:lang w:val="en-NZ"/>
        </w:rPr>
        <w:t xml:space="preserve"> the </w:t>
      </w:r>
      <w:r>
        <w:rPr>
          <w:lang w:val="en-NZ"/>
        </w:rPr>
        <w:t xml:space="preserve">report </w:t>
      </w:r>
      <w:r w:rsidR="00E549FE">
        <w:rPr>
          <w:lang w:val="en-NZ"/>
        </w:rPr>
        <w:t xml:space="preserve">that is required within three months after the end of the financial year </w:t>
      </w:r>
      <w:r>
        <w:rPr>
          <w:lang w:val="en-NZ"/>
        </w:rPr>
        <w:t xml:space="preserve">on the </w:t>
      </w:r>
      <w:r w:rsidR="00E549FE">
        <w:rPr>
          <w:lang w:val="en-NZ"/>
        </w:rPr>
        <w:t xml:space="preserve">proceedings and operations of the District </w:t>
      </w:r>
      <w:r>
        <w:rPr>
          <w:lang w:val="en-NZ"/>
        </w:rPr>
        <w:t>Licensing Committee (DLC)</w:t>
      </w:r>
      <w:r w:rsidR="00104F49">
        <w:rPr>
          <w:lang w:val="en-NZ"/>
        </w:rPr>
        <w:t xml:space="preserve">. The Annual Report 2018/19 is prepared </w:t>
      </w:r>
      <w:r>
        <w:rPr>
          <w:lang w:val="en-NZ"/>
        </w:rPr>
        <w:t>pursuant to section 199 of the Sale and Supply of Alcohol Act 2012 (the Act)</w:t>
      </w:r>
      <w:r w:rsidR="00104F49">
        <w:rPr>
          <w:lang w:val="en-NZ"/>
        </w:rPr>
        <w:t xml:space="preserve"> (appendix one)</w:t>
      </w:r>
      <w:r w:rsidR="005E2A27">
        <w:rPr>
          <w:lang w:val="en-NZ"/>
        </w:rPr>
        <w:t>.</w:t>
      </w:r>
    </w:p>
    <w:p w:rsidR="000E6E80" w:rsidRDefault="000E6E80" w:rsidP="00386BC2">
      <w:pPr>
        <w:pStyle w:val="BodyText"/>
        <w:numPr>
          <w:ilvl w:val="0"/>
          <w:numId w:val="18"/>
        </w:numPr>
        <w:rPr>
          <w:lang w:val="en-NZ"/>
        </w:rPr>
      </w:pPr>
      <w:r>
        <w:rPr>
          <w:lang w:val="en-NZ"/>
        </w:rPr>
        <w:t xml:space="preserve">To </w:t>
      </w:r>
      <w:r w:rsidR="00A40CE3">
        <w:rPr>
          <w:lang w:val="en-NZ"/>
        </w:rPr>
        <w:t>provide</w:t>
      </w:r>
      <w:r w:rsidR="008523B1">
        <w:rPr>
          <w:lang w:val="en-NZ"/>
        </w:rPr>
        <w:t xml:space="preserve"> the </w:t>
      </w:r>
      <w:r w:rsidR="00E549FE">
        <w:rPr>
          <w:lang w:val="en-NZ"/>
        </w:rPr>
        <w:t>report that is required each year showing the income from fees and costs incurred</w:t>
      </w:r>
      <w:r w:rsidR="00326ED1">
        <w:rPr>
          <w:lang w:val="en-NZ"/>
        </w:rPr>
        <w:t xml:space="preserve"> in </w:t>
      </w:r>
      <w:r w:rsidR="00E549FE">
        <w:rPr>
          <w:lang w:val="en-NZ"/>
        </w:rPr>
        <w:t xml:space="preserve">the performance of the DLC and the inspectors pursuant to regulation 19 of the </w:t>
      </w:r>
      <w:r w:rsidR="008523B1">
        <w:rPr>
          <w:lang w:val="en-NZ"/>
        </w:rPr>
        <w:t xml:space="preserve">Sale and Supply of Alcohol (Fees) Regulations 2012 (the Regulations) </w:t>
      </w:r>
      <w:r w:rsidR="00E549FE">
        <w:rPr>
          <w:lang w:val="en-NZ"/>
        </w:rPr>
        <w:t>(appendix two)</w:t>
      </w:r>
      <w:r w:rsidR="005E2A27">
        <w:rPr>
          <w:lang w:val="en-NZ"/>
        </w:rPr>
        <w:t>.</w:t>
      </w:r>
    </w:p>
    <w:p w:rsidR="00386BC2" w:rsidRPr="00DC10B4" w:rsidRDefault="00386BC2" w:rsidP="00386BC2">
      <w:pPr>
        <w:pStyle w:val="Heading1"/>
        <w:rPr>
          <w:lang w:val="en-NZ"/>
        </w:rPr>
      </w:pPr>
      <w:r w:rsidRPr="00DC10B4">
        <w:rPr>
          <w:lang w:val="en-NZ"/>
        </w:rPr>
        <w:t>Delegation</w:t>
      </w:r>
    </w:p>
    <w:p w:rsidR="00AD3F66" w:rsidRDefault="008523B1" w:rsidP="00FD1062">
      <w:pPr>
        <w:pStyle w:val="BodyText"/>
        <w:numPr>
          <w:ilvl w:val="0"/>
          <w:numId w:val="44"/>
        </w:numPr>
        <w:ind w:left="426"/>
        <w:rPr>
          <w:lang w:val="en-NZ"/>
        </w:rPr>
      </w:pPr>
      <w:r w:rsidRPr="00AD3F66">
        <w:rPr>
          <w:lang w:val="en-NZ"/>
        </w:rPr>
        <w:t xml:space="preserve">The Operation and Finance Committee has delegated authority to consider both </w:t>
      </w:r>
      <w:r w:rsidR="00B4318B" w:rsidRPr="00AD3F66">
        <w:rPr>
          <w:lang w:val="en-NZ"/>
        </w:rPr>
        <w:t>reports under the Section B.2 of the Governance Structure and Delegations:</w:t>
      </w:r>
      <w:r w:rsidR="00AD3F66" w:rsidRPr="00AD3F66">
        <w:rPr>
          <w:lang w:val="en-NZ"/>
        </w:rPr>
        <w:t xml:space="preserve"> </w:t>
      </w:r>
    </w:p>
    <w:p w:rsidR="00386BC2" w:rsidRPr="00AD3F66" w:rsidRDefault="00AD3F66" w:rsidP="00AD3F66">
      <w:pPr>
        <w:pStyle w:val="BodyText"/>
        <w:numPr>
          <w:ilvl w:val="1"/>
          <w:numId w:val="18"/>
        </w:numPr>
        <w:tabs>
          <w:tab w:val="clear" w:pos="576"/>
          <w:tab w:val="num" w:pos="426"/>
        </w:tabs>
        <w:ind w:left="1134" w:hanging="708"/>
        <w:rPr>
          <w:lang w:val="en-NZ"/>
        </w:rPr>
      </w:pPr>
      <w:r>
        <w:rPr>
          <w:lang w:val="en-NZ"/>
        </w:rPr>
        <w:t>“</w:t>
      </w:r>
      <w:r w:rsidR="00B4318B" w:rsidRPr="00AD3F66">
        <w:rPr>
          <w:lang w:val="en-NZ"/>
        </w:rPr>
        <w:t>This committee will deal with monitoring and decision-making on all broader</w:t>
      </w:r>
      <w:r>
        <w:rPr>
          <w:lang w:val="en-NZ"/>
        </w:rPr>
        <w:t xml:space="preserve"> </w:t>
      </w:r>
      <w:r w:rsidR="00B4318B" w:rsidRPr="00AD3F66">
        <w:rPr>
          <w:lang w:val="en-NZ"/>
        </w:rPr>
        <w:t>financial management matters. Key responsibilities will include all regulatory and planning matters from an operational perspective</w:t>
      </w:r>
      <w:r>
        <w:rPr>
          <w:lang w:val="en-NZ"/>
        </w:rPr>
        <w:t>.”</w:t>
      </w:r>
    </w:p>
    <w:p w:rsidR="00386BC2" w:rsidRPr="00DC10B4" w:rsidRDefault="00386BC2" w:rsidP="00386BC2">
      <w:pPr>
        <w:pStyle w:val="Heading1"/>
        <w:rPr>
          <w:lang w:val="en-NZ"/>
        </w:rPr>
      </w:pPr>
      <w:r w:rsidRPr="00DC10B4">
        <w:rPr>
          <w:lang w:val="en-NZ"/>
        </w:rPr>
        <w:t>B</w:t>
      </w:r>
      <w:r>
        <w:rPr>
          <w:lang w:val="en-NZ"/>
        </w:rPr>
        <w:t>ackground</w:t>
      </w:r>
    </w:p>
    <w:p w:rsidR="00AD3F66" w:rsidRDefault="00AD3F66" w:rsidP="00AD3F66">
      <w:pPr>
        <w:pStyle w:val="BodyText"/>
        <w:numPr>
          <w:ilvl w:val="0"/>
          <w:numId w:val="18"/>
        </w:numPr>
        <w:tabs>
          <w:tab w:val="clear" w:pos="432"/>
        </w:tabs>
        <w:rPr>
          <w:lang w:val="en-NZ"/>
        </w:rPr>
      </w:pPr>
      <w:r w:rsidRPr="00335C1B">
        <w:rPr>
          <w:lang w:val="en-NZ"/>
        </w:rPr>
        <w:t xml:space="preserve">At the conclusion of a financial year, every territorial authority must furnish a report to the Alcohol Regulatory </w:t>
      </w:r>
      <w:r>
        <w:rPr>
          <w:lang w:val="en-NZ"/>
        </w:rPr>
        <w:t xml:space="preserve">Licensing </w:t>
      </w:r>
      <w:r w:rsidRPr="00335C1B">
        <w:rPr>
          <w:lang w:val="en-NZ"/>
        </w:rPr>
        <w:t>Authority (ARLA) on the proceedings and operations of its licensing committee during the year</w:t>
      </w:r>
      <w:r>
        <w:rPr>
          <w:lang w:val="en-NZ"/>
        </w:rPr>
        <w:t xml:space="preserve"> (appendix two).</w:t>
      </w:r>
      <w:r w:rsidRPr="00335C1B">
        <w:rPr>
          <w:lang w:val="en-NZ"/>
        </w:rPr>
        <w:t xml:space="preserve"> </w:t>
      </w:r>
    </w:p>
    <w:p w:rsidR="00AD3F66" w:rsidRDefault="00AD3F66" w:rsidP="00FD1062">
      <w:pPr>
        <w:pStyle w:val="BodyText"/>
        <w:numPr>
          <w:ilvl w:val="1"/>
          <w:numId w:val="18"/>
        </w:numPr>
        <w:ind w:left="1134" w:hanging="708"/>
        <w:rPr>
          <w:lang w:val="en-NZ"/>
        </w:rPr>
      </w:pPr>
      <w:r w:rsidRPr="00AD3F66">
        <w:rPr>
          <w:lang w:val="en-NZ"/>
        </w:rPr>
        <w:t xml:space="preserve">Pursuant to section 199(2) of the Act ARLA may, and has in relation to this year’s annual report, specified the reporting format, reporting requirements and mode of reporting. The mode of reporting consists of an online survey and an Annual Fees return. </w:t>
      </w:r>
    </w:p>
    <w:p w:rsidR="00545233" w:rsidRDefault="00545233" w:rsidP="00545233">
      <w:pPr>
        <w:pStyle w:val="BodyText"/>
        <w:numPr>
          <w:ilvl w:val="0"/>
          <w:numId w:val="18"/>
        </w:numPr>
        <w:tabs>
          <w:tab w:val="clear" w:pos="432"/>
        </w:tabs>
        <w:rPr>
          <w:lang w:val="en-NZ"/>
        </w:rPr>
      </w:pPr>
      <w:r>
        <w:rPr>
          <w:lang w:val="en-NZ"/>
        </w:rPr>
        <w:t xml:space="preserve">Regulation </w:t>
      </w:r>
      <w:r w:rsidRPr="004E31A3">
        <w:rPr>
          <w:lang w:val="en-NZ"/>
        </w:rPr>
        <w:t>19 requires every territorial authority (TA) each year, to prepare and make publicly available</w:t>
      </w:r>
      <w:r>
        <w:rPr>
          <w:lang w:val="en-NZ"/>
        </w:rPr>
        <w:t>,</w:t>
      </w:r>
      <w:r w:rsidRPr="004E31A3">
        <w:rPr>
          <w:lang w:val="en-NZ"/>
        </w:rPr>
        <w:t xml:space="preserve"> a report showing its income from fees payable in relation to, and its costs incurred</w:t>
      </w:r>
      <w:r>
        <w:rPr>
          <w:lang w:val="en-NZ"/>
        </w:rPr>
        <w:t xml:space="preserve"> </w:t>
      </w:r>
      <w:r w:rsidR="00853076">
        <w:rPr>
          <w:lang w:val="en-NZ"/>
        </w:rPr>
        <w:t xml:space="preserve">in </w:t>
      </w:r>
      <w:r>
        <w:rPr>
          <w:lang w:val="en-NZ"/>
        </w:rPr>
        <w:t>(appendix one):</w:t>
      </w:r>
    </w:p>
    <w:p w:rsidR="00545233" w:rsidRDefault="00545233" w:rsidP="00545233">
      <w:pPr>
        <w:pStyle w:val="BodyText"/>
        <w:numPr>
          <w:ilvl w:val="1"/>
          <w:numId w:val="18"/>
        </w:numPr>
        <w:tabs>
          <w:tab w:val="left" w:pos="1134"/>
        </w:tabs>
        <w:ind w:left="1134" w:hanging="708"/>
        <w:rPr>
          <w:lang w:val="en-NZ"/>
        </w:rPr>
      </w:pPr>
      <w:r>
        <w:rPr>
          <w:lang w:val="en-NZ"/>
        </w:rPr>
        <w:t>t</w:t>
      </w:r>
      <w:r w:rsidRPr="004E31A3">
        <w:rPr>
          <w:lang w:val="en-NZ"/>
        </w:rPr>
        <w:t>he performance of the functions of its licensing committee under the Act;</w:t>
      </w:r>
      <w:r>
        <w:rPr>
          <w:lang w:val="en-NZ"/>
        </w:rPr>
        <w:t xml:space="preserve"> and</w:t>
      </w:r>
    </w:p>
    <w:p w:rsidR="00545233" w:rsidRDefault="00545233" w:rsidP="00545233">
      <w:pPr>
        <w:pStyle w:val="BodyText"/>
        <w:numPr>
          <w:ilvl w:val="1"/>
          <w:numId w:val="18"/>
        </w:numPr>
        <w:tabs>
          <w:tab w:val="left" w:pos="1134"/>
        </w:tabs>
        <w:ind w:left="1134" w:hanging="708"/>
        <w:rPr>
          <w:lang w:val="en-NZ"/>
        </w:rPr>
      </w:pPr>
      <w:r>
        <w:rPr>
          <w:lang w:val="en-NZ"/>
        </w:rPr>
        <w:t>t</w:t>
      </w:r>
      <w:r w:rsidRPr="004E31A3">
        <w:rPr>
          <w:lang w:val="en-NZ"/>
        </w:rPr>
        <w:t>he performance of the functions of its inspectors under the Act; and</w:t>
      </w:r>
    </w:p>
    <w:p w:rsidR="00545233" w:rsidRDefault="00545233" w:rsidP="00545233">
      <w:pPr>
        <w:pStyle w:val="BodyText"/>
        <w:numPr>
          <w:ilvl w:val="1"/>
          <w:numId w:val="18"/>
        </w:numPr>
        <w:tabs>
          <w:tab w:val="left" w:pos="1134"/>
        </w:tabs>
        <w:ind w:left="1134" w:hanging="708"/>
        <w:rPr>
          <w:lang w:val="en-NZ"/>
        </w:rPr>
      </w:pPr>
      <w:r w:rsidRPr="004E31A3">
        <w:rPr>
          <w:lang w:val="en-NZ"/>
        </w:rPr>
        <w:t xml:space="preserve">undertaking enforcement activities under the Act.  </w:t>
      </w:r>
    </w:p>
    <w:p w:rsidR="00545233" w:rsidRPr="00AD3F66" w:rsidRDefault="00545233" w:rsidP="00545233">
      <w:pPr>
        <w:pStyle w:val="BodyText"/>
        <w:ind w:left="1134"/>
        <w:rPr>
          <w:lang w:val="en-NZ"/>
        </w:rPr>
      </w:pPr>
    </w:p>
    <w:p w:rsidR="0033435E" w:rsidRDefault="00AD3F66" w:rsidP="0033435E">
      <w:pPr>
        <w:pStyle w:val="Heading1"/>
        <w:rPr>
          <w:lang w:val="en-NZ"/>
        </w:rPr>
      </w:pPr>
      <w:r>
        <w:rPr>
          <w:lang w:val="en-NZ"/>
        </w:rPr>
        <w:lastRenderedPageBreak/>
        <w:br/>
      </w:r>
      <w:r w:rsidR="00386BC2">
        <w:rPr>
          <w:lang w:val="en-NZ"/>
        </w:rPr>
        <w:t>Issues and Options</w:t>
      </w:r>
    </w:p>
    <w:p w:rsidR="00386BC2" w:rsidRPr="00853076" w:rsidRDefault="00386BC2" w:rsidP="00853076">
      <w:pPr>
        <w:pStyle w:val="Heading2"/>
        <w:rPr>
          <w:lang w:val="en-NZ"/>
        </w:rPr>
      </w:pPr>
      <w:r w:rsidRPr="00853076">
        <w:rPr>
          <w:lang w:val="en-NZ"/>
        </w:rPr>
        <w:t>Issues</w:t>
      </w:r>
    </w:p>
    <w:p w:rsidR="004E31A3" w:rsidRPr="000F6E35" w:rsidRDefault="004E31A3" w:rsidP="004E31A3">
      <w:pPr>
        <w:pStyle w:val="BodyText"/>
        <w:numPr>
          <w:ilvl w:val="0"/>
          <w:numId w:val="18"/>
        </w:numPr>
        <w:rPr>
          <w:lang w:val="en-NZ"/>
        </w:rPr>
      </w:pPr>
      <w:r>
        <w:rPr>
          <w:lang w:val="en-NZ"/>
        </w:rPr>
        <w:t>There are no issues</w:t>
      </w:r>
      <w:r w:rsidR="00AD3F66">
        <w:rPr>
          <w:lang w:val="en-NZ"/>
        </w:rPr>
        <w:t xml:space="preserve"> in relation to this report and its appendices</w:t>
      </w:r>
      <w:r>
        <w:rPr>
          <w:lang w:val="en-NZ"/>
        </w:rPr>
        <w:t xml:space="preserve">. </w:t>
      </w:r>
      <w:r w:rsidR="00386BC2" w:rsidRPr="000F6E35">
        <w:rPr>
          <w:lang w:val="en-NZ"/>
        </w:rPr>
        <w:t xml:space="preserve"> </w:t>
      </w:r>
    </w:p>
    <w:p w:rsidR="00386BC2" w:rsidRPr="00853076" w:rsidRDefault="00386BC2" w:rsidP="00386BC2">
      <w:pPr>
        <w:pStyle w:val="Heading2"/>
        <w:rPr>
          <w:lang w:val="en-NZ"/>
        </w:rPr>
      </w:pPr>
      <w:r w:rsidRPr="00853076">
        <w:rPr>
          <w:lang w:val="en-NZ"/>
        </w:rPr>
        <w:t>Opti</w:t>
      </w:r>
      <w:r w:rsidR="00A40CE3">
        <w:rPr>
          <w:lang w:val="en-NZ"/>
        </w:rPr>
        <w:t>ons</w:t>
      </w:r>
    </w:p>
    <w:p w:rsidR="00386BC2" w:rsidRPr="00DC10B4" w:rsidRDefault="00AD3F66" w:rsidP="00C5229E">
      <w:pPr>
        <w:pStyle w:val="BodyText"/>
        <w:numPr>
          <w:ilvl w:val="0"/>
          <w:numId w:val="18"/>
        </w:numPr>
        <w:rPr>
          <w:lang w:val="en-NZ"/>
        </w:rPr>
      </w:pPr>
      <w:r>
        <w:rPr>
          <w:lang w:val="en-NZ"/>
        </w:rPr>
        <w:t xml:space="preserve">The alcohol licensing </w:t>
      </w:r>
      <w:r w:rsidR="005E2A27">
        <w:rPr>
          <w:lang w:val="en-NZ"/>
        </w:rPr>
        <w:t>fees (income) are c</w:t>
      </w:r>
      <w:r w:rsidR="00A112F5">
        <w:rPr>
          <w:lang w:val="en-NZ"/>
        </w:rPr>
        <w:t xml:space="preserve">urrently </w:t>
      </w:r>
      <w:r w:rsidR="00C5229E">
        <w:rPr>
          <w:lang w:val="en-NZ"/>
        </w:rPr>
        <w:t xml:space="preserve">set by Central Government under the Regulations. </w:t>
      </w:r>
      <w:r w:rsidR="0033435E">
        <w:rPr>
          <w:lang w:val="en-NZ"/>
        </w:rPr>
        <w:t>A</w:t>
      </w:r>
      <w:r w:rsidR="00A112F5">
        <w:rPr>
          <w:lang w:val="en-NZ"/>
        </w:rPr>
        <w:t xml:space="preserve">n option exists </w:t>
      </w:r>
      <w:r w:rsidR="0033435E">
        <w:rPr>
          <w:lang w:val="en-NZ"/>
        </w:rPr>
        <w:t xml:space="preserve">in future </w:t>
      </w:r>
      <w:r w:rsidR="00A112F5">
        <w:rPr>
          <w:lang w:val="en-NZ"/>
        </w:rPr>
        <w:t xml:space="preserve">for </w:t>
      </w:r>
      <w:r w:rsidR="00C5229E">
        <w:rPr>
          <w:lang w:val="en-NZ"/>
        </w:rPr>
        <w:t xml:space="preserve">Council </w:t>
      </w:r>
      <w:r w:rsidR="00A112F5">
        <w:rPr>
          <w:lang w:val="en-NZ"/>
        </w:rPr>
        <w:t xml:space="preserve">to consider establishing their </w:t>
      </w:r>
      <w:r w:rsidR="00C5229E">
        <w:rPr>
          <w:lang w:val="en-NZ"/>
        </w:rPr>
        <w:t xml:space="preserve">own fee </w:t>
      </w:r>
      <w:r w:rsidR="00A112F5">
        <w:rPr>
          <w:lang w:val="en-NZ"/>
        </w:rPr>
        <w:t xml:space="preserve">structure </w:t>
      </w:r>
      <w:r w:rsidR="00C5229E">
        <w:rPr>
          <w:lang w:val="en-NZ"/>
        </w:rPr>
        <w:t>by developing a fee setting bylaw</w:t>
      </w:r>
      <w:r w:rsidR="0033435E">
        <w:rPr>
          <w:lang w:val="en-NZ"/>
        </w:rPr>
        <w:t>,</w:t>
      </w:r>
      <w:r w:rsidR="00545233">
        <w:rPr>
          <w:lang w:val="en-NZ"/>
        </w:rPr>
        <w:t xml:space="preserve"> pursuant to section 4</w:t>
      </w:r>
      <w:r w:rsidR="00C5229E">
        <w:rPr>
          <w:lang w:val="en-NZ"/>
        </w:rPr>
        <w:t xml:space="preserve">05 of the Act. </w:t>
      </w:r>
    </w:p>
    <w:p w:rsidR="00386BC2" w:rsidRPr="00DC10B4" w:rsidRDefault="00386BC2" w:rsidP="00386BC2">
      <w:pPr>
        <w:pStyle w:val="Heading1"/>
        <w:rPr>
          <w:lang w:val="en-NZ"/>
        </w:rPr>
      </w:pPr>
      <w:r>
        <w:rPr>
          <w:lang w:val="en-NZ"/>
        </w:rPr>
        <w:t>Considerations</w:t>
      </w:r>
    </w:p>
    <w:p w:rsidR="00386BC2" w:rsidRPr="00DC10B4" w:rsidRDefault="00386BC2" w:rsidP="00386BC2">
      <w:pPr>
        <w:pStyle w:val="Heading2"/>
        <w:rPr>
          <w:lang w:val="en-NZ"/>
        </w:rPr>
      </w:pPr>
      <w:r w:rsidRPr="00DC10B4">
        <w:rPr>
          <w:lang w:val="en-NZ"/>
        </w:rPr>
        <w:t xml:space="preserve">Policy </w:t>
      </w:r>
      <w:r>
        <w:rPr>
          <w:lang w:val="en-NZ"/>
        </w:rPr>
        <w:t>considerations</w:t>
      </w:r>
    </w:p>
    <w:p w:rsidR="00386BC2" w:rsidRPr="00C5229E" w:rsidRDefault="00C5229E" w:rsidP="00C5229E">
      <w:pPr>
        <w:pStyle w:val="BodyText"/>
        <w:ind w:left="0"/>
        <w:rPr>
          <w:lang w:val="en-NZ"/>
        </w:rPr>
      </w:pPr>
      <w:r w:rsidRPr="00C5229E">
        <w:rPr>
          <w:lang w:val="en-NZ"/>
        </w:rPr>
        <w:t xml:space="preserve">There are no policy considerations. </w:t>
      </w:r>
    </w:p>
    <w:p w:rsidR="00386BC2" w:rsidRPr="00DC10B4" w:rsidRDefault="00386BC2" w:rsidP="00386BC2">
      <w:pPr>
        <w:pStyle w:val="Heading2"/>
        <w:rPr>
          <w:lang w:val="en-NZ"/>
        </w:rPr>
      </w:pPr>
      <w:r w:rsidRPr="00DC10B4">
        <w:rPr>
          <w:lang w:val="en-NZ"/>
        </w:rPr>
        <w:t xml:space="preserve">Legal </w:t>
      </w:r>
      <w:r>
        <w:rPr>
          <w:lang w:val="en-NZ"/>
        </w:rPr>
        <w:t>c</w:t>
      </w:r>
      <w:r w:rsidRPr="00DC10B4">
        <w:rPr>
          <w:lang w:val="en-NZ"/>
        </w:rPr>
        <w:t>onsiderations</w:t>
      </w:r>
    </w:p>
    <w:p w:rsidR="00545233" w:rsidRDefault="00545233" w:rsidP="00FD1062">
      <w:pPr>
        <w:pStyle w:val="BodyText"/>
        <w:numPr>
          <w:ilvl w:val="0"/>
          <w:numId w:val="18"/>
        </w:numPr>
        <w:rPr>
          <w:lang w:val="en-NZ"/>
        </w:rPr>
      </w:pPr>
      <w:r w:rsidRPr="005E2A27">
        <w:rPr>
          <w:lang w:val="en-NZ"/>
        </w:rPr>
        <w:t xml:space="preserve">The </w:t>
      </w:r>
      <w:r>
        <w:rPr>
          <w:lang w:val="en-NZ"/>
        </w:rPr>
        <w:t>Annual</w:t>
      </w:r>
      <w:r w:rsidRPr="005E2A27">
        <w:rPr>
          <w:lang w:val="en-NZ"/>
        </w:rPr>
        <w:t xml:space="preserve"> </w:t>
      </w:r>
      <w:r>
        <w:rPr>
          <w:lang w:val="en-NZ"/>
        </w:rPr>
        <w:t>Report is a requirement under section 199 of the Act.</w:t>
      </w:r>
    </w:p>
    <w:p w:rsidR="00545233" w:rsidRDefault="00545233" w:rsidP="00545233">
      <w:pPr>
        <w:pStyle w:val="BodyText"/>
        <w:numPr>
          <w:ilvl w:val="0"/>
          <w:numId w:val="18"/>
        </w:numPr>
        <w:rPr>
          <w:lang w:val="en-NZ"/>
        </w:rPr>
      </w:pPr>
      <w:r>
        <w:rPr>
          <w:lang w:val="en-NZ"/>
        </w:rPr>
        <w:t>The Regulation 19 R</w:t>
      </w:r>
      <w:r w:rsidRPr="005E2A27">
        <w:rPr>
          <w:lang w:val="en-NZ"/>
        </w:rPr>
        <w:t>eport is a requirement of the Regulations.</w:t>
      </w:r>
    </w:p>
    <w:p w:rsidR="00386BC2" w:rsidRDefault="00386BC2" w:rsidP="00386BC2">
      <w:pPr>
        <w:pStyle w:val="Heading2"/>
        <w:rPr>
          <w:lang w:val="en-NZ"/>
        </w:rPr>
      </w:pPr>
      <w:r>
        <w:rPr>
          <w:lang w:val="en-NZ"/>
        </w:rPr>
        <w:t>Tāngata whenua considerations</w:t>
      </w:r>
    </w:p>
    <w:p w:rsidR="00BE0B50" w:rsidRDefault="005E2A27" w:rsidP="005E2A27">
      <w:pPr>
        <w:pStyle w:val="BodyText"/>
        <w:numPr>
          <w:ilvl w:val="0"/>
          <w:numId w:val="18"/>
        </w:numPr>
        <w:rPr>
          <w:lang w:val="en-NZ"/>
        </w:rPr>
      </w:pPr>
      <w:r>
        <w:rPr>
          <w:lang w:val="en-NZ"/>
        </w:rPr>
        <w:t>There are no Tāngata whenua considerations</w:t>
      </w:r>
      <w:r w:rsidR="00686833">
        <w:rPr>
          <w:lang w:val="en-NZ"/>
        </w:rPr>
        <w:t>.</w:t>
      </w:r>
    </w:p>
    <w:p w:rsidR="00BE0B50" w:rsidRPr="00BE0B50" w:rsidRDefault="00BE0B50" w:rsidP="00BE0B50">
      <w:pPr>
        <w:pStyle w:val="BodyText"/>
        <w:ind w:left="0"/>
        <w:rPr>
          <w:sz w:val="28"/>
          <w:szCs w:val="28"/>
          <w:lang w:val="en-NZ"/>
        </w:rPr>
      </w:pPr>
      <w:r w:rsidRPr="00BE0B50">
        <w:rPr>
          <w:sz w:val="28"/>
          <w:szCs w:val="28"/>
          <w:lang w:val="en-NZ"/>
        </w:rPr>
        <w:t>Strategic considerations</w:t>
      </w:r>
    </w:p>
    <w:p w:rsidR="00BE0B50" w:rsidRPr="00BE0B50" w:rsidRDefault="005E2A27" w:rsidP="00BE0B50">
      <w:pPr>
        <w:pStyle w:val="BodyText"/>
        <w:numPr>
          <w:ilvl w:val="0"/>
          <w:numId w:val="18"/>
        </w:numPr>
        <w:rPr>
          <w:lang w:val="en-NZ"/>
        </w:rPr>
      </w:pPr>
      <w:r>
        <w:rPr>
          <w:lang w:val="en-NZ"/>
        </w:rPr>
        <w:t>There are no strategic considerations</w:t>
      </w:r>
      <w:r w:rsidR="00361EC5">
        <w:rPr>
          <w:lang w:val="en-NZ"/>
        </w:rPr>
        <w:t>.</w:t>
      </w:r>
    </w:p>
    <w:p w:rsidR="00386BC2" w:rsidRDefault="00386BC2" w:rsidP="00386BC2">
      <w:pPr>
        <w:pStyle w:val="Heading1"/>
      </w:pPr>
      <w:r w:rsidRPr="00DC10B4">
        <w:t>S</w:t>
      </w:r>
      <w:r>
        <w:t>ignificance and Engagement</w:t>
      </w:r>
      <w:r w:rsidRPr="00DC10B4">
        <w:t xml:space="preserve"> </w:t>
      </w:r>
    </w:p>
    <w:p w:rsidR="00386BC2" w:rsidRDefault="0012357F" w:rsidP="00386BC2">
      <w:pPr>
        <w:pStyle w:val="Heading2"/>
      </w:pPr>
      <w:r>
        <w:t>S</w:t>
      </w:r>
      <w:r w:rsidR="00386BC2">
        <w:t>ignificance</w:t>
      </w:r>
      <w:r>
        <w:t xml:space="preserve"> policy</w:t>
      </w:r>
    </w:p>
    <w:p w:rsidR="00386BC2" w:rsidRPr="00694316" w:rsidRDefault="004761F9" w:rsidP="00386BC2">
      <w:pPr>
        <w:pStyle w:val="BodyText"/>
        <w:numPr>
          <w:ilvl w:val="0"/>
          <w:numId w:val="18"/>
        </w:numPr>
        <w:rPr>
          <w:lang w:val="en-NZ"/>
        </w:rPr>
      </w:pPr>
      <w:r>
        <w:rPr>
          <w:lang w:val="en-NZ"/>
        </w:rPr>
        <w:t>This matter has a low level</w:t>
      </w:r>
      <w:r w:rsidR="00545233">
        <w:rPr>
          <w:lang w:val="en-NZ"/>
        </w:rPr>
        <w:t xml:space="preserve"> of significance under Council p</w:t>
      </w:r>
      <w:r>
        <w:rPr>
          <w:lang w:val="en-NZ"/>
        </w:rPr>
        <w:t>olicy.</w:t>
      </w:r>
    </w:p>
    <w:p w:rsidR="00386BC2" w:rsidRPr="00DC10B4" w:rsidRDefault="00386BC2" w:rsidP="00386BC2">
      <w:pPr>
        <w:pStyle w:val="Heading2"/>
        <w:rPr>
          <w:lang w:val="en-NZ"/>
        </w:rPr>
      </w:pPr>
      <w:r w:rsidRPr="00DC10B4">
        <w:rPr>
          <w:lang w:val="en-NZ"/>
        </w:rPr>
        <w:t>Consultation</w:t>
      </w:r>
      <w:r>
        <w:rPr>
          <w:lang w:val="en-NZ"/>
        </w:rPr>
        <w:t xml:space="preserve"> already undertaken</w:t>
      </w:r>
    </w:p>
    <w:p w:rsidR="00386BC2" w:rsidRPr="004761F9" w:rsidRDefault="004761F9" w:rsidP="00FD1062">
      <w:pPr>
        <w:pStyle w:val="BodyText"/>
        <w:numPr>
          <w:ilvl w:val="0"/>
          <w:numId w:val="18"/>
        </w:numPr>
        <w:rPr>
          <w:lang w:val="en-NZ"/>
        </w:rPr>
      </w:pPr>
      <w:r w:rsidRPr="004761F9">
        <w:rPr>
          <w:lang w:val="en-NZ"/>
        </w:rPr>
        <w:t xml:space="preserve">There is no need to consult on </w:t>
      </w:r>
      <w:r>
        <w:rPr>
          <w:lang w:val="en-NZ"/>
        </w:rPr>
        <w:t>e</w:t>
      </w:r>
      <w:r w:rsidRPr="004761F9">
        <w:rPr>
          <w:lang w:val="en-NZ"/>
        </w:rPr>
        <w:t xml:space="preserve">ither </w:t>
      </w:r>
      <w:r w:rsidR="00545233">
        <w:rPr>
          <w:lang w:val="en-NZ"/>
        </w:rPr>
        <w:t xml:space="preserve">report contained in the appendices. They will be </w:t>
      </w:r>
      <w:r w:rsidRPr="004761F9">
        <w:rPr>
          <w:lang w:val="en-NZ"/>
        </w:rPr>
        <w:t>made publicly available</w:t>
      </w:r>
      <w:r>
        <w:rPr>
          <w:lang w:val="en-NZ"/>
        </w:rPr>
        <w:t xml:space="preserve">. </w:t>
      </w:r>
    </w:p>
    <w:p w:rsidR="00386BC2" w:rsidRDefault="00386BC2" w:rsidP="00386BC2">
      <w:pPr>
        <w:pStyle w:val="Heading2"/>
        <w:rPr>
          <w:lang w:val="en-NZ"/>
        </w:rPr>
      </w:pPr>
      <w:r>
        <w:rPr>
          <w:lang w:val="en-NZ"/>
        </w:rPr>
        <w:t>Engagement planning</w:t>
      </w:r>
    </w:p>
    <w:p w:rsidR="00386BC2" w:rsidRPr="004761F9" w:rsidRDefault="004761F9" w:rsidP="004761F9">
      <w:pPr>
        <w:pStyle w:val="BodyText"/>
        <w:numPr>
          <w:ilvl w:val="0"/>
          <w:numId w:val="18"/>
        </w:numPr>
        <w:rPr>
          <w:lang w:val="en-NZ"/>
        </w:rPr>
      </w:pPr>
      <w:r w:rsidRPr="004761F9">
        <w:rPr>
          <w:lang w:val="en-NZ"/>
        </w:rPr>
        <w:t>No engagement planning required.</w:t>
      </w:r>
      <w:r>
        <w:rPr>
          <w:i/>
          <w:lang w:val="en-NZ"/>
        </w:rPr>
        <w:t xml:space="preserve"> </w:t>
      </w:r>
    </w:p>
    <w:p w:rsidR="00386BC2" w:rsidRPr="000F43F0" w:rsidRDefault="00386BC2" w:rsidP="00386BC2">
      <w:pPr>
        <w:pStyle w:val="Heading2"/>
      </w:pPr>
      <w:r w:rsidRPr="000F43F0">
        <w:t xml:space="preserve">Publicity </w:t>
      </w:r>
    </w:p>
    <w:p w:rsidR="00386BC2" w:rsidRPr="00DC10B4" w:rsidRDefault="004761F9" w:rsidP="00386BC2">
      <w:pPr>
        <w:pStyle w:val="BodyText"/>
        <w:numPr>
          <w:ilvl w:val="0"/>
          <w:numId w:val="18"/>
        </w:numPr>
        <w:rPr>
          <w:lang w:val="en-NZ"/>
        </w:rPr>
      </w:pPr>
      <w:r>
        <w:rPr>
          <w:lang w:val="en-NZ"/>
        </w:rPr>
        <w:t xml:space="preserve">The reports </w:t>
      </w:r>
      <w:r w:rsidR="00545233">
        <w:rPr>
          <w:lang w:val="en-NZ"/>
        </w:rPr>
        <w:t xml:space="preserve">contained in the appendices </w:t>
      </w:r>
      <w:r>
        <w:rPr>
          <w:lang w:val="en-NZ"/>
        </w:rPr>
        <w:t xml:space="preserve">are required to be made publicly available; therefore, these reports will </w:t>
      </w:r>
      <w:r w:rsidR="0033435E">
        <w:rPr>
          <w:lang w:val="en-NZ"/>
        </w:rPr>
        <w:t xml:space="preserve">be published </w:t>
      </w:r>
      <w:r>
        <w:rPr>
          <w:lang w:val="en-NZ"/>
        </w:rPr>
        <w:t>on the Kapiti Coast District Council website. The A</w:t>
      </w:r>
      <w:r w:rsidR="0033435E">
        <w:rPr>
          <w:lang w:val="en-NZ"/>
        </w:rPr>
        <w:t>nnual R</w:t>
      </w:r>
      <w:r>
        <w:rPr>
          <w:lang w:val="en-NZ"/>
        </w:rPr>
        <w:t xml:space="preserve">eport will be submitted </w:t>
      </w:r>
      <w:r w:rsidR="0033435E">
        <w:rPr>
          <w:lang w:val="en-NZ"/>
        </w:rPr>
        <w:t xml:space="preserve">to ARLA </w:t>
      </w:r>
      <w:r>
        <w:rPr>
          <w:lang w:val="en-NZ"/>
        </w:rPr>
        <w:t>via the online survey</w:t>
      </w:r>
      <w:r w:rsidR="00386BC2" w:rsidRPr="000F43F0">
        <w:rPr>
          <w:lang w:val="en-NZ"/>
        </w:rPr>
        <w:t>.</w:t>
      </w:r>
    </w:p>
    <w:p w:rsidR="00545233" w:rsidRDefault="00545233" w:rsidP="00386BC2">
      <w:pPr>
        <w:pStyle w:val="Heading1"/>
        <w:rPr>
          <w:lang w:val="en-NZ"/>
        </w:rPr>
      </w:pPr>
    </w:p>
    <w:p w:rsidR="00386BC2" w:rsidRPr="00DC10B4" w:rsidRDefault="00386BC2" w:rsidP="00386BC2">
      <w:pPr>
        <w:pStyle w:val="Heading1"/>
        <w:rPr>
          <w:lang w:val="en-NZ"/>
        </w:rPr>
      </w:pPr>
      <w:r w:rsidRPr="00DC10B4">
        <w:rPr>
          <w:lang w:val="en-NZ"/>
        </w:rPr>
        <w:lastRenderedPageBreak/>
        <w:t>RECOMMENDATIONS</w:t>
      </w:r>
    </w:p>
    <w:p w:rsidR="0033435E" w:rsidRDefault="00386BC2" w:rsidP="0033435E">
      <w:pPr>
        <w:pStyle w:val="BodyText"/>
        <w:numPr>
          <w:ilvl w:val="0"/>
          <w:numId w:val="18"/>
        </w:numPr>
        <w:rPr>
          <w:lang w:val="en-NZ"/>
        </w:rPr>
      </w:pPr>
      <w:r>
        <w:rPr>
          <w:lang w:val="en-NZ"/>
        </w:rPr>
        <w:t>Th</w:t>
      </w:r>
      <w:r w:rsidR="004761F9">
        <w:rPr>
          <w:lang w:val="en-NZ"/>
        </w:rPr>
        <w:t xml:space="preserve">at the </w:t>
      </w:r>
      <w:r w:rsidR="0033435E">
        <w:rPr>
          <w:lang w:val="en-NZ"/>
        </w:rPr>
        <w:t>Operations and Finance Committee receive report RS-19-878 and accompanying appendices (Annual Report and Regulation 19 Report)</w:t>
      </w:r>
      <w:r w:rsidR="00545233">
        <w:rPr>
          <w:lang w:val="en-NZ"/>
        </w:rPr>
        <w:t>.</w:t>
      </w:r>
    </w:p>
    <w:p w:rsidR="00386BC2" w:rsidRPr="000F43F0" w:rsidRDefault="00386BC2" w:rsidP="00386BC2"/>
    <w:tbl>
      <w:tblPr>
        <w:tblW w:w="0" w:type="auto"/>
        <w:tblLook w:val="0000" w:firstRow="0" w:lastRow="0" w:firstColumn="0" w:lastColumn="0" w:noHBand="0" w:noVBand="0"/>
      </w:tblPr>
      <w:tblGrid>
        <w:gridCol w:w="2246"/>
        <w:gridCol w:w="2881"/>
        <w:gridCol w:w="2881"/>
      </w:tblGrid>
      <w:tr w:rsidR="00386BC2" w:rsidRPr="00DC10B4">
        <w:trPr>
          <w:cantSplit/>
        </w:trPr>
        <w:tc>
          <w:tcPr>
            <w:tcW w:w="0" w:type="auto"/>
          </w:tcPr>
          <w:p w:rsidR="00386BC2" w:rsidRPr="00DC10B4" w:rsidRDefault="00386BC2" w:rsidP="00C141C1">
            <w:pPr>
              <w:jc w:val="both"/>
              <w:rPr>
                <w:b/>
              </w:rPr>
            </w:pPr>
            <w:r w:rsidRPr="00DC10B4">
              <w:rPr>
                <w:b/>
              </w:rPr>
              <w:t>Report prepared by</w:t>
            </w:r>
          </w:p>
        </w:tc>
        <w:tc>
          <w:tcPr>
            <w:tcW w:w="0" w:type="auto"/>
          </w:tcPr>
          <w:p w:rsidR="00386BC2" w:rsidRPr="00DC10B4" w:rsidRDefault="00386BC2" w:rsidP="00C141C1">
            <w:pPr>
              <w:jc w:val="both"/>
              <w:rPr>
                <w:b/>
              </w:rPr>
            </w:pPr>
            <w:r w:rsidRPr="00DC10B4">
              <w:rPr>
                <w:b/>
              </w:rPr>
              <w:t>Approved for submission</w:t>
            </w:r>
          </w:p>
        </w:tc>
        <w:tc>
          <w:tcPr>
            <w:tcW w:w="0" w:type="auto"/>
          </w:tcPr>
          <w:p w:rsidR="00386BC2" w:rsidRPr="00DC10B4" w:rsidRDefault="00386BC2" w:rsidP="00C141C1">
            <w:pPr>
              <w:jc w:val="both"/>
              <w:rPr>
                <w:b/>
              </w:rPr>
            </w:pPr>
            <w:r w:rsidRPr="00DC10B4">
              <w:rPr>
                <w:b/>
              </w:rPr>
              <w:t>Approved for submission</w:t>
            </w:r>
          </w:p>
        </w:tc>
      </w:tr>
      <w:tr w:rsidR="00386BC2" w:rsidRPr="00DC10B4">
        <w:trPr>
          <w:cantSplit/>
          <w:trHeight w:hRule="exact" w:val="600"/>
        </w:trPr>
        <w:tc>
          <w:tcPr>
            <w:tcW w:w="0" w:type="auto"/>
          </w:tcPr>
          <w:p w:rsidR="00386BC2" w:rsidRPr="00DC10B4" w:rsidRDefault="00386BC2" w:rsidP="00C141C1">
            <w:pPr>
              <w:jc w:val="both"/>
              <w:rPr>
                <w:b/>
              </w:rPr>
            </w:pPr>
          </w:p>
        </w:tc>
        <w:tc>
          <w:tcPr>
            <w:tcW w:w="0" w:type="auto"/>
          </w:tcPr>
          <w:p w:rsidR="00386BC2" w:rsidRPr="00DC10B4" w:rsidRDefault="00386BC2" w:rsidP="00C141C1">
            <w:pPr>
              <w:jc w:val="both"/>
              <w:rPr>
                <w:b/>
              </w:rPr>
            </w:pPr>
          </w:p>
        </w:tc>
        <w:tc>
          <w:tcPr>
            <w:tcW w:w="0" w:type="auto"/>
          </w:tcPr>
          <w:p w:rsidR="00386BC2" w:rsidRPr="00DC10B4" w:rsidRDefault="00386BC2" w:rsidP="00C141C1">
            <w:pPr>
              <w:jc w:val="both"/>
              <w:rPr>
                <w:b/>
              </w:rPr>
            </w:pPr>
          </w:p>
        </w:tc>
      </w:tr>
      <w:tr w:rsidR="00386BC2" w:rsidRPr="00DC10B4">
        <w:trPr>
          <w:cantSplit/>
          <w:trHeight w:val="600"/>
        </w:trPr>
        <w:tc>
          <w:tcPr>
            <w:tcW w:w="0" w:type="auto"/>
          </w:tcPr>
          <w:p w:rsidR="00386BC2" w:rsidRPr="00E373A0" w:rsidRDefault="00386BC2" w:rsidP="00C141C1">
            <w:pPr>
              <w:jc w:val="both"/>
              <w:rPr>
                <w:b/>
              </w:rPr>
            </w:pPr>
            <w:r w:rsidRPr="00E373A0">
              <w:rPr>
                <w:b/>
              </w:rPr>
              <w:fldChar w:fldCharType="begin"/>
            </w:r>
            <w:r w:rsidRPr="00E373A0">
              <w:rPr>
                <w:b/>
              </w:rPr>
              <w:instrText xml:space="preserve"> DOCVARIABLE  "Author" \* MERGEFORMAT </w:instrText>
            </w:r>
            <w:r w:rsidRPr="00E373A0">
              <w:rPr>
                <w:b/>
              </w:rPr>
              <w:fldChar w:fldCharType="separate"/>
            </w:r>
            <w:r w:rsidR="000E6E80" w:rsidRPr="000E6E80">
              <w:rPr>
                <w:bCs/>
                <w:lang w:val="en-US"/>
              </w:rPr>
              <w:t>Katherine McLellan</w:t>
            </w:r>
            <w:r w:rsidRPr="00E373A0">
              <w:rPr>
                <w:b/>
              </w:rPr>
              <w:fldChar w:fldCharType="end"/>
            </w:r>
          </w:p>
        </w:tc>
        <w:tc>
          <w:tcPr>
            <w:tcW w:w="0" w:type="auto"/>
          </w:tcPr>
          <w:p w:rsidR="00386BC2" w:rsidRPr="00E343CC" w:rsidRDefault="0033435E" w:rsidP="00C141C1">
            <w:pPr>
              <w:jc w:val="both"/>
            </w:pPr>
            <w:r>
              <w:t>Natasha Tod</w:t>
            </w:r>
          </w:p>
        </w:tc>
        <w:tc>
          <w:tcPr>
            <w:tcW w:w="0" w:type="auto"/>
          </w:tcPr>
          <w:p w:rsidR="00386BC2" w:rsidRPr="00545233" w:rsidRDefault="0033435E" w:rsidP="00C141C1">
            <w:pPr>
              <w:jc w:val="both"/>
            </w:pPr>
            <w:r w:rsidRPr="00545233">
              <w:t>Janice McDougal</w:t>
            </w:r>
            <w:r w:rsidR="00B04F9E">
              <w:t>l</w:t>
            </w:r>
          </w:p>
        </w:tc>
      </w:tr>
      <w:tr w:rsidR="00386BC2" w:rsidRPr="00DC10B4">
        <w:trPr>
          <w:cantSplit/>
        </w:trPr>
        <w:tc>
          <w:tcPr>
            <w:tcW w:w="0" w:type="auto"/>
          </w:tcPr>
          <w:p w:rsidR="00386BC2" w:rsidRDefault="0033435E" w:rsidP="00C141C1">
            <w:pPr>
              <w:jc w:val="both"/>
              <w:rPr>
                <w:b/>
              </w:rPr>
            </w:pPr>
            <w:r>
              <w:rPr>
                <w:b/>
              </w:rPr>
              <w:t>Team Leader</w:t>
            </w:r>
          </w:p>
          <w:p w:rsidR="0033435E" w:rsidRDefault="0033435E" w:rsidP="00C141C1">
            <w:pPr>
              <w:jc w:val="both"/>
              <w:rPr>
                <w:b/>
              </w:rPr>
            </w:pPr>
            <w:r>
              <w:rPr>
                <w:b/>
              </w:rPr>
              <w:t>Environmental</w:t>
            </w:r>
          </w:p>
          <w:p w:rsidR="0033435E" w:rsidRPr="00DC10B4" w:rsidRDefault="0033435E" w:rsidP="00C141C1">
            <w:pPr>
              <w:jc w:val="both"/>
              <w:rPr>
                <w:b/>
              </w:rPr>
            </w:pPr>
            <w:r>
              <w:rPr>
                <w:b/>
              </w:rPr>
              <w:t xml:space="preserve">Health </w:t>
            </w:r>
          </w:p>
        </w:tc>
        <w:tc>
          <w:tcPr>
            <w:tcW w:w="0" w:type="auto"/>
          </w:tcPr>
          <w:p w:rsidR="0033435E" w:rsidRDefault="00386BC2" w:rsidP="00C141C1">
            <w:pPr>
              <w:jc w:val="both"/>
              <w:rPr>
                <w:b/>
              </w:rPr>
            </w:pPr>
            <w:r>
              <w:rPr>
                <w:b/>
              </w:rPr>
              <w:t>Group Manager</w:t>
            </w:r>
          </w:p>
          <w:p w:rsidR="00386BC2" w:rsidRPr="00DC10B4" w:rsidRDefault="0033435E" w:rsidP="0033435E">
            <w:pPr>
              <w:jc w:val="both"/>
              <w:rPr>
                <w:b/>
              </w:rPr>
            </w:pPr>
            <w:r>
              <w:rPr>
                <w:b/>
              </w:rPr>
              <w:t>Regulatory Services</w:t>
            </w:r>
          </w:p>
        </w:tc>
        <w:tc>
          <w:tcPr>
            <w:tcW w:w="0" w:type="auto"/>
          </w:tcPr>
          <w:p w:rsidR="00386BC2" w:rsidRDefault="00386BC2" w:rsidP="0033435E">
            <w:pPr>
              <w:jc w:val="both"/>
              <w:rPr>
                <w:b/>
              </w:rPr>
            </w:pPr>
            <w:r>
              <w:rPr>
                <w:b/>
              </w:rPr>
              <w:t>Group Manager</w:t>
            </w:r>
          </w:p>
          <w:p w:rsidR="0033435E" w:rsidRPr="00DC10B4" w:rsidRDefault="0033435E" w:rsidP="0033435E">
            <w:pPr>
              <w:jc w:val="both"/>
              <w:rPr>
                <w:b/>
              </w:rPr>
            </w:pPr>
            <w:r>
              <w:rPr>
                <w:b/>
              </w:rPr>
              <w:t>People and Partnerships</w:t>
            </w:r>
          </w:p>
        </w:tc>
      </w:tr>
    </w:tbl>
    <w:p w:rsidR="00386BC2" w:rsidRPr="00DC10B4" w:rsidRDefault="00386BC2" w:rsidP="00386BC2">
      <w:pPr>
        <w:pStyle w:val="BodyText"/>
        <w:rPr>
          <w:b/>
          <w:lang w:val="en-NZ"/>
        </w:rPr>
      </w:pPr>
    </w:p>
    <w:p w:rsidR="00386BC2" w:rsidRPr="00DC10B4" w:rsidRDefault="00853076" w:rsidP="00386BC2">
      <w:pPr>
        <w:pStyle w:val="Heading1"/>
        <w:rPr>
          <w:lang w:val="en-NZ"/>
        </w:rPr>
      </w:pPr>
      <w:r>
        <w:rPr>
          <w:lang w:val="en-NZ"/>
        </w:rPr>
        <w:t>APPENDICES</w:t>
      </w:r>
    </w:p>
    <w:p w:rsidR="00386BC2" w:rsidRDefault="00386BC2" w:rsidP="00386BC2">
      <w:pPr>
        <w:ind w:left="360" w:hanging="360"/>
        <w:jc w:val="both"/>
      </w:pPr>
      <w:r>
        <w:t>1</w:t>
      </w:r>
      <w:r>
        <w:tab/>
      </w:r>
      <w:r w:rsidR="0033435E">
        <w:t>Annual Report</w:t>
      </w:r>
      <w:r w:rsidR="00545233">
        <w:t xml:space="preserve"> 2018/19</w:t>
      </w:r>
      <w:r>
        <w:t>.</w:t>
      </w:r>
    </w:p>
    <w:p w:rsidR="00386BC2" w:rsidRDefault="00386BC2" w:rsidP="00386BC2">
      <w:pPr>
        <w:ind w:left="360" w:hanging="360"/>
        <w:jc w:val="both"/>
      </w:pPr>
    </w:p>
    <w:p w:rsidR="0033435E" w:rsidRDefault="00386BC2" w:rsidP="00386BC2">
      <w:pPr>
        <w:ind w:left="360" w:hanging="360"/>
        <w:jc w:val="both"/>
      </w:pPr>
      <w:r>
        <w:t>2</w:t>
      </w:r>
      <w:r>
        <w:tab/>
      </w:r>
      <w:r w:rsidR="0033435E">
        <w:t>Regulation 19 Report</w:t>
      </w:r>
      <w:r w:rsidR="00545233">
        <w:t xml:space="preserve"> 2018/19.</w:t>
      </w:r>
    </w:p>
    <w:p w:rsidR="00386BC2" w:rsidRDefault="0033435E" w:rsidP="00386BC2">
      <w:pPr>
        <w:ind w:left="360" w:hanging="360"/>
        <w:jc w:val="both"/>
        <w:rPr>
          <w:b/>
          <w:sz w:val="28"/>
          <w:szCs w:val="28"/>
        </w:rPr>
      </w:pPr>
      <w:r>
        <w:br w:type="page"/>
      </w:r>
      <w:r w:rsidRPr="0033435E">
        <w:rPr>
          <w:b/>
          <w:sz w:val="28"/>
          <w:szCs w:val="28"/>
        </w:rPr>
        <w:lastRenderedPageBreak/>
        <w:t>Appendix One</w:t>
      </w:r>
    </w:p>
    <w:p w:rsidR="0033435E" w:rsidRDefault="0033435E" w:rsidP="00386BC2">
      <w:pPr>
        <w:ind w:left="360" w:hanging="360"/>
        <w:jc w:val="both"/>
        <w:rPr>
          <w:b/>
          <w:sz w:val="28"/>
          <w:szCs w:val="28"/>
        </w:rPr>
      </w:pPr>
    </w:p>
    <w:p w:rsidR="0033435E" w:rsidRDefault="0033435E" w:rsidP="0033435E">
      <w:pPr>
        <w:ind w:left="360" w:hanging="360"/>
        <w:jc w:val="center"/>
        <w:rPr>
          <w:b/>
          <w:sz w:val="28"/>
          <w:szCs w:val="28"/>
        </w:rPr>
      </w:pPr>
      <w:r>
        <w:rPr>
          <w:b/>
          <w:sz w:val="28"/>
          <w:szCs w:val="28"/>
        </w:rPr>
        <w:t>Annual Report</w:t>
      </w:r>
      <w:r w:rsidR="00853076">
        <w:rPr>
          <w:b/>
          <w:sz w:val="28"/>
          <w:szCs w:val="28"/>
        </w:rPr>
        <w:t xml:space="preserve"> 2018/19</w:t>
      </w:r>
    </w:p>
    <w:p w:rsidR="00853076" w:rsidRDefault="00853076" w:rsidP="0033435E">
      <w:pPr>
        <w:ind w:left="360" w:hanging="360"/>
        <w:jc w:val="center"/>
        <w:rPr>
          <w:b/>
          <w:sz w:val="28"/>
          <w:szCs w:val="28"/>
        </w:rPr>
      </w:pPr>
    </w:p>
    <w:p w:rsidR="00853076" w:rsidRDefault="00853076" w:rsidP="00853076">
      <w:pPr>
        <w:rPr>
          <w:b/>
        </w:rPr>
      </w:pPr>
      <w:r>
        <w:rPr>
          <w:b/>
        </w:rPr>
        <w:t xml:space="preserve">Annual Report to Alcohol Regulatory and Licensing Authority </w:t>
      </w:r>
    </w:p>
    <w:p w:rsidR="00B04F9E" w:rsidRDefault="00B04F9E" w:rsidP="00853076">
      <w:pPr>
        <w:rPr>
          <w:b/>
        </w:rPr>
      </w:pPr>
    </w:p>
    <w:p w:rsidR="00853076" w:rsidRDefault="00853076" w:rsidP="00853076">
      <w:pPr>
        <w:rPr>
          <w:b/>
        </w:rPr>
      </w:pPr>
      <w:r w:rsidRPr="0020430E">
        <w:rPr>
          <w:b/>
        </w:rPr>
        <w:t>Questions:</w:t>
      </w:r>
    </w:p>
    <w:p w:rsidR="00B04F9E" w:rsidRPr="0020430E" w:rsidRDefault="00B04F9E" w:rsidP="00853076">
      <w:pPr>
        <w:rPr>
          <w:b/>
        </w:rPr>
      </w:pPr>
    </w:p>
    <w:p w:rsidR="00853076" w:rsidRDefault="00853076" w:rsidP="00853076">
      <w:pPr>
        <w:pStyle w:val="ListParagraph"/>
        <w:numPr>
          <w:ilvl w:val="0"/>
          <w:numId w:val="46"/>
        </w:numPr>
      </w:pPr>
      <w:r>
        <w:t>Please provide the n</w:t>
      </w:r>
      <w:r w:rsidRPr="0020430E">
        <w:t xml:space="preserve">ame of </w:t>
      </w:r>
      <w:r>
        <w:t xml:space="preserve">your </w:t>
      </w:r>
      <w:r w:rsidRPr="0020430E">
        <w:t>District Licensing Committee</w:t>
      </w:r>
      <w:r>
        <w:t>.</w:t>
      </w:r>
      <w:r w:rsidRPr="0020430E">
        <w:t xml:space="preserve"> </w:t>
      </w:r>
    </w:p>
    <w:p w:rsidR="00853076" w:rsidRPr="00B04F9E" w:rsidRDefault="00853076" w:rsidP="00853076">
      <w:pPr>
        <w:ind w:firstLine="360"/>
        <w:rPr>
          <w:rFonts w:asciiTheme="minorHAnsi" w:hAnsiTheme="minorHAnsi" w:cstheme="minorHAnsi"/>
          <w:b/>
        </w:rPr>
      </w:pPr>
      <w:r w:rsidRPr="00B04F9E">
        <w:rPr>
          <w:rFonts w:asciiTheme="minorHAnsi" w:hAnsiTheme="minorHAnsi" w:cstheme="minorHAnsi"/>
          <w:b/>
        </w:rPr>
        <w:t>Kapiti Coast District Licensing Committee</w:t>
      </w:r>
    </w:p>
    <w:p w:rsidR="00853076" w:rsidRPr="0020430E" w:rsidRDefault="00853076" w:rsidP="00853076">
      <w:pPr>
        <w:pStyle w:val="ListParagraph"/>
        <w:ind w:left="360"/>
      </w:pPr>
    </w:p>
    <w:p w:rsidR="00853076" w:rsidRDefault="00853076" w:rsidP="00853076">
      <w:pPr>
        <w:pStyle w:val="ListParagraph"/>
        <w:numPr>
          <w:ilvl w:val="0"/>
          <w:numId w:val="46"/>
        </w:numPr>
      </w:pPr>
      <w:r>
        <w:t xml:space="preserve">Please provide the name, email, and contact phone number of your Committee’s </w:t>
      </w:r>
      <w:r w:rsidRPr="0020430E">
        <w:t>Secretary</w:t>
      </w:r>
      <w:r>
        <w:t>.</w:t>
      </w:r>
      <w:r w:rsidRPr="0020430E">
        <w:t xml:space="preserve"> </w:t>
      </w:r>
    </w:p>
    <w:p w:rsidR="00853076" w:rsidRDefault="00853076" w:rsidP="00853076">
      <w:pPr>
        <w:pStyle w:val="ListParagraph"/>
        <w:ind w:left="360"/>
        <w:rPr>
          <w:color w:val="FF0000"/>
        </w:rPr>
      </w:pPr>
    </w:p>
    <w:p w:rsidR="00853076" w:rsidRPr="00B04F9E" w:rsidRDefault="00853076" w:rsidP="00853076">
      <w:pPr>
        <w:pStyle w:val="ListParagraph"/>
        <w:ind w:left="360"/>
        <w:rPr>
          <w:b/>
        </w:rPr>
      </w:pPr>
      <w:r w:rsidRPr="00B04F9E">
        <w:rPr>
          <w:b/>
        </w:rPr>
        <w:t>Natasha Tod</w:t>
      </w:r>
      <w:r w:rsidRPr="00B04F9E">
        <w:rPr>
          <w:b/>
        </w:rPr>
        <w:tab/>
      </w:r>
      <w:r w:rsidRPr="00B04F9E">
        <w:rPr>
          <w:b/>
        </w:rPr>
        <w:tab/>
      </w:r>
      <w:hyperlink r:id="rId8" w:history="1">
        <w:r w:rsidRPr="00B04F9E">
          <w:rPr>
            <w:rStyle w:val="Hyperlink"/>
            <w:b/>
            <w:color w:val="auto"/>
          </w:rPr>
          <w:t>Natasha.tod@kapiticoast.govt.nz</w:t>
        </w:r>
      </w:hyperlink>
      <w:r w:rsidRPr="00B04F9E">
        <w:rPr>
          <w:b/>
        </w:rPr>
        <w:tab/>
      </w:r>
      <w:r w:rsidRPr="00B04F9E">
        <w:rPr>
          <w:b/>
        </w:rPr>
        <w:tab/>
        <w:t>04 296 4700</w:t>
      </w:r>
    </w:p>
    <w:p w:rsidR="00853076" w:rsidRPr="0020430E" w:rsidRDefault="00853076" w:rsidP="00853076">
      <w:pPr>
        <w:pStyle w:val="ListParagraph"/>
        <w:ind w:left="360"/>
      </w:pPr>
    </w:p>
    <w:p w:rsidR="00853076" w:rsidRDefault="00853076" w:rsidP="00853076">
      <w:pPr>
        <w:pStyle w:val="ListParagraph"/>
        <w:numPr>
          <w:ilvl w:val="0"/>
          <w:numId w:val="46"/>
        </w:numPr>
      </w:pPr>
      <w:r w:rsidRPr="0020430E">
        <w:t xml:space="preserve">Please name each of your licensing inspectors and provide </w:t>
      </w:r>
      <w:r>
        <w:t xml:space="preserve">their email and </w:t>
      </w:r>
      <w:r w:rsidRPr="0020430E">
        <w:t>contact</w:t>
      </w:r>
      <w:r>
        <w:t xml:space="preserve"> phone number.</w:t>
      </w:r>
      <w:r w:rsidRPr="0020430E">
        <w:t xml:space="preserve"> </w:t>
      </w:r>
    </w:p>
    <w:p w:rsidR="00853076" w:rsidRDefault="00853076" w:rsidP="00853076">
      <w:pPr>
        <w:pStyle w:val="ListParagraph"/>
        <w:ind w:left="360"/>
      </w:pPr>
    </w:p>
    <w:p w:rsidR="00853076" w:rsidRPr="00B04F9E" w:rsidRDefault="00853076" w:rsidP="00853076">
      <w:pPr>
        <w:pStyle w:val="ListParagraph"/>
        <w:ind w:left="360"/>
        <w:rPr>
          <w:b/>
        </w:rPr>
      </w:pPr>
      <w:r w:rsidRPr="00B04F9E">
        <w:rPr>
          <w:b/>
        </w:rPr>
        <w:t xml:space="preserve">Katherine McLellan </w:t>
      </w:r>
      <w:r w:rsidRPr="00B04F9E">
        <w:rPr>
          <w:b/>
        </w:rPr>
        <w:tab/>
      </w:r>
      <w:hyperlink r:id="rId9" w:history="1">
        <w:r w:rsidRPr="00B04F9E">
          <w:rPr>
            <w:rStyle w:val="Hyperlink"/>
            <w:b/>
            <w:color w:val="auto"/>
          </w:rPr>
          <w:t>Katherine.mclellan@kapiticoast.govt.nz</w:t>
        </w:r>
      </w:hyperlink>
      <w:r w:rsidR="00B04F9E">
        <w:rPr>
          <w:b/>
        </w:rPr>
        <w:tab/>
      </w:r>
      <w:r w:rsidRPr="00B04F9E">
        <w:rPr>
          <w:b/>
        </w:rPr>
        <w:t>04 296 4700</w:t>
      </w:r>
    </w:p>
    <w:p w:rsidR="00853076" w:rsidRPr="00B04F9E" w:rsidRDefault="00853076" w:rsidP="00853076">
      <w:pPr>
        <w:pStyle w:val="ListParagraph"/>
        <w:spacing w:after="0"/>
        <w:ind w:left="360"/>
        <w:rPr>
          <w:b/>
        </w:rPr>
      </w:pPr>
      <w:r w:rsidRPr="00B04F9E">
        <w:rPr>
          <w:b/>
        </w:rPr>
        <w:t>Julie Lloyd (until 21 December 2018)</w:t>
      </w:r>
    </w:p>
    <w:p w:rsidR="00853076" w:rsidRPr="00DB2A71" w:rsidRDefault="00853076" w:rsidP="00853076">
      <w:pPr>
        <w:rPr>
          <w:i/>
        </w:rPr>
      </w:pPr>
    </w:p>
    <w:p w:rsidR="00853076" w:rsidRPr="00181B18" w:rsidRDefault="00853076" w:rsidP="00853076">
      <w:pPr>
        <w:pStyle w:val="ListParagraph"/>
        <w:numPr>
          <w:ilvl w:val="0"/>
          <w:numId w:val="46"/>
        </w:numPr>
        <w:rPr>
          <w:i/>
        </w:rPr>
      </w:pPr>
      <w:r>
        <w:t xml:space="preserve">The following questions relate to the number of licences and managers’ certificates your Committee issued and refused in the 2018-19 financial year. </w:t>
      </w:r>
    </w:p>
    <w:p w:rsidR="00853076" w:rsidRDefault="00853076" w:rsidP="00853076">
      <w:pPr>
        <w:pStyle w:val="ListParagraph"/>
      </w:pPr>
    </w:p>
    <w:tbl>
      <w:tblPr>
        <w:tblW w:w="6520" w:type="dxa"/>
        <w:tblInd w:w="450" w:type="dxa"/>
        <w:tblLook w:val="04A0" w:firstRow="1" w:lastRow="0" w:firstColumn="1" w:lastColumn="0" w:noHBand="0" w:noVBand="1"/>
      </w:tblPr>
      <w:tblGrid>
        <w:gridCol w:w="2066"/>
        <w:gridCol w:w="988"/>
        <w:gridCol w:w="1239"/>
        <w:gridCol w:w="988"/>
        <w:gridCol w:w="1239"/>
      </w:tblGrid>
      <w:tr w:rsidR="00026A09" w:rsidRPr="00760A27" w:rsidTr="00FD1062">
        <w:trPr>
          <w:trHeight w:val="300"/>
        </w:trPr>
        <w:tc>
          <w:tcPr>
            <w:tcW w:w="65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Pr>
                <w:rFonts w:ascii="Calibri" w:hAnsi="Calibri" w:cs="Calibri"/>
                <w:b/>
                <w:bCs/>
                <w:color w:val="000000"/>
              </w:rPr>
              <w:t xml:space="preserve">NEW </w:t>
            </w:r>
            <w:r w:rsidRPr="00760A27">
              <w:rPr>
                <w:rFonts w:ascii="Calibri" w:hAnsi="Calibri" w:cs="Calibri"/>
                <w:b/>
                <w:bCs/>
                <w:color w:val="000000"/>
              </w:rPr>
              <w:t>LICENCES ISSUED</w:t>
            </w:r>
          </w:p>
        </w:tc>
      </w:tr>
      <w:tr w:rsidR="00026A09" w:rsidRPr="00760A27" w:rsidTr="00FD1062">
        <w:trPr>
          <w:trHeight w:val="300"/>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222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Pr>
                <w:rFonts w:ascii="Calibri" w:hAnsi="Calibri" w:cs="Calibri"/>
                <w:b/>
                <w:bCs/>
                <w:color w:val="000000"/>
              </w:rPr>
              <w:t>2018-2019</w:t>
            </w:r>
          </w:p>
        </w:tc>
        <w:tc>
          <w:tcPr>
            <w:tcW w:w="222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Pr>
                <w:rFonts w:ascii="Calibri" w:hAnsi="Calibri" w:cs="Calibri"/>
                <w:b/>
                <w:bCs/>
                <w:color w:val="000000"/>
              </w:rPr>
              <w:t>(</w:t>
            </w:r>
            <w:r w:rsidRPr="00760A27">
              <w:rPr>
                <w:rFonts w:ascii="Calibri" w:hAnsi="Calibri" w:cs="Calibri"/>
                <w:b/>
                <w:bCs/>
                <w:color w:val="000000"/>
              </w:rPr>
              <w:t xml:space="preserve">2017 </w:t>
            </w:r>
            <w:r>
              <w:rPr>
                <w:rFonts w:ascii="Calibri" w:hAnsi="Calibri" w:cs="Calibri"/>
                <w:b/>
                <w:bCs/>
                <w:color w:val="000000"/>
              </w:rPr>
              <w:t>–</w:t>
            </w:r>
            <w:r w:rsidRPr="00760A27">
              <w:rPr>
                <w:rFonts w:ascii="Calibri" w:hAnsi="Calibri" w:cs="Calibri"/>
                <w:b/>
                <w:bCs/>
                <w:color w:val="000000"/>
              </w:rPr>
              <w:t xml:space="preserve"> 2018</w:t>
            </w:r>
            <w:r>
              <w:rPr>
                <w:rFonts w:ascii="Calibri" w:hAnsi="Calibri" w:cs="Calibri"/>
                <w:b/>
                <w:bCs/>
                <w:color w:val="000000"/>
              </w:rPr>
              <w:t>)</w:t>
            </w:r>
          </w:p>
        </w:tc>
      </w:tr>
      <w:tr w:rsidR="00026A09" w:rsidRPr="00760A27" w:rsidTr="00FD1062">
        <w:trPr>
          <w:trHeight w:val="300"/>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ISSUED</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REFUSED</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ISSUED</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REFUSED</w:t>
            </w:r>
          </w:p>
        </w:tc>
      </w:tr>
      <w:tr w:rsidR="00026A09" w:rsidRPr="00760A27" w:rsidTr="00FD1062">
        <w:trPr>
          <w:trHeight w:val="300"/>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sidRPr="00760A27">
              <w:rPr>
                <w:rFonts w:ascii="Calibri" w:hAnsi="Calibri" w:cs="Calibri"/>
                <w:b/>
                <w:bCs/>
                <w:color w:val="000000"/>
              </w:rPr>
              <w:t>ON LICENCES</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1</w:t>
            </w:r>
            <w:r>
              <w:rPr>
                <w:rFonts w:ascii="Calibri" w:hAnsi="Calibri" w:cs="Calibri"/>
                <w:color w:val="000000"/>
              </w:rPr>
              <w:t>2</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0</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11</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0</w:t>
            </w:r>
          </w:p>
        </w:tc>
      </w:tr>
      <w:tr w:rsidR="00026A09" w:rsidRPr="00760A27" w:rsidTr="00FD1062">
        <w:trPr>
          <w:trHeight w:val="300"/>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sidRPr="00760A27">
              <w:rPr>
                <w:rFonts w:ascii="Calibri" w:hAnsi="Calibri" w:cs="Calibri"/>
                <w:b/>
                <w:bCs/>
                <w:color w:val="000000"/>
              </w:rPr>
              <w:t> </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r>
      <w:tr w:rsidR="00026A09" w:rsidRPr="00760A27" w:rsidTr="00FD1062">
        <w:trPr>
          <w:trHeight w:val="300"/>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sidRPr="00760A27">
              <w:rPr>
                <w:rFonts w:ascii="Calibri" w:hAnsi="Calibri" w:cs="Calibri"/>
                <w:b/>
                <w:bCs/>
                <w:color w:val="000000"/>
              </w:rPr>
              <w:t>OFF LICENCES</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Pr>
                <w:rFonts w:ascii="Calibri" w:hAnsi="Calibri" w:cs="Calibri"/>
                <w:color w:val="000000"/>
              </w:rPr>
              <w:t>8</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0</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8</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0</w:t>
            </w:r>
          </w:p>
        </w:tc>
      </w:tr>
      <w:tr w:rsidR="00026A09" w:rsidRPr="00760A27" w:rsidTr="00FD1062">
        <w:trPr>
          <w:trHeight w:val="300"/>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sidRPr="00760A27">
              <w:rPr>
                <w:rFonts w:ascii="Calibri" w:hAnsi="Calibri" w:cs="Calibri"/>
                <w:b/>
                <w:bCs/>
                <w:color w:val="000000"/>
              </w:rPr>
              <w:t> </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r>
      <w:tr w:rsidR="00026A09" w:rsidRPr="00760A27" w:rsidTr="00FD1062">
        <w:trPr>
          <w:trHeight w:val="300"/>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sidRPr="00760A27">
              <w:rPr>
                <w:rFonts w:ascii="Calibri" w:hAnsi="Calibri" w:cs="Calibri"/>
                <w:b/>
                <w:bCs/>
                <w:color w:val="000000"/>
              </w:rPr>
              <w:t>CLUB LICENCES</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Pr>
                <w:rFonts w:ascii="Calibri" w:hAnsi="Calibri" w:cs="Calibri"/>
                <w:color w:val="000000"/>
              </w:rPr>
              <w:t>1</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0</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1</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0</w:t>
            </w:r>
          </w:p>
        </w:tc>
      </w:tr>
      <w:tr w:rsidR="00026A09" w:rsidRPr="00760A27" w:rsidTr="00FD1062">
        <w:trPr>
          <w:trHeight w:val="300"/>
        </w:trPr>
        <w:tc>
          <w:tcPr>
            <w:tcW w:w="2066"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rPr>
                <w:rFonts w:ascii="Calibri" w:hAnsi="Calibri" w:cs="Calibri"/>
                <w:color w:val="000000"/>
              </w:rPr>
            </w:pPr>
            <w:r w:rsidRPr="00760A27">
              <w:rPr>
                <w:rFonts w:ascii="Calibri" w:hAnsi="Calibri" w:cs="Calibri"/>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rPr>
                <w:rFonts w:ascii="Calibri" w:hAnsi="Calibri" w:cs="Calibri"/>
                <w:color w:val="000000"/>
              </w:rPr>
            </w:pPr>
            <w:r w:rsidRPr="00760A27">
              <w:rPr>
                <w:rFonts w:ascii="Calibri" w:hAnsi="Calibri" w:cs="Calibri"/>
                <w:color w:val="000000"/>
              </w:rPr>
              <w:t> </w:t>
            </w:r>
          </w:p>
        </w:tc>
        <w:tc>
          <w:tcPr>
            <w:tcW w:w="988"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rPr>
                <w:rFonts w:ascii="Calibri" w:hAnsi="Calibri" w:cs="Calibri"/>
                <w:color w:val="000000"/>
              </w:rPr>
            </w:pPr>
            <w:r w:rsidRPr="00760A27">
              <w:rPr>
                <w:rFonts w:ascii="Calibri" w:hAnsi="Calibri" w:cs="Calibri"/>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rPr>
                <w:rFonts w:ascii="Calibri" w:hAnsi="Calibri" w:cs="Calibri"/>
                <w:color w:val="000000"/>
              </w:rPr>
            </w:pPr>
            <w:r w:rsidRPr="00760A27">
              <w:rPr>
                <w:rFonts w:ascii="Calibri" w:hAnsi="Calibri" w:cs="Calibri"/>
                <w:color w:val="000000"/>
              </w:rPr>
              <w:t> </w:t>
            </w:r>
          </w:p>
        </w:tc>
      </w:tr>
    </w:tbl>
    <w:p w:rsidR="00026A09" w:rsidRDefault="00026A09" w:rsidP="00853076">
      <w:pPr>
        <w:pStyle w:val="ListParagraph"/>
        <w:ind w:left="360"/>
        <w:rPr>
          <w:i/>
        </w:rPr>
      </w:pPr>
    </w:p>
    <w:tbl>
      <w:tblPr>
        <w:tblW w:w="7288" w:type="dxa"/>
        <w:tblInd w:w="534" w:type="dxa"/>
        <w:tblLook w:val="04A0" w:firstRow="1" w:lastRow="0" w:firstColumn="1" w:lastColumn="0" w:noHBand="0" w:noVBand="1"/>
      </w:tblPr>
      <w:tblGrid>
        <w:gridCol w:w="858"/>
        <w:gridCol w:w="1194"/>
        <w:gridCol w:w="1765"/>
        <w:gridCol w:w="952"/>
        <w:gridCol w:w="1194"/>
        <w:gridCol w:w="1765"/>
      </w:tblGrid>
      <w:tr w:rsidR="00026A09" w:rsidRPr="00760A27" w:rsidTr="00FD1062">
        <w:trPr>
          <w:trHeight w:val="300"/>
        </w:trPr>
        <w:tc>
          <w:tcPr>
            <w:tcW w:w="728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026A09">
            <w:pPr>
              <w:jc w:val="center"/>
              <w:rPr>
                <w:rFonts w:ascii="Calibri" w:hAnsi="Calibri" w:cs="Calibri"/>
                <w:b/>
                <w:bCs/>
                <w:color w:val="000000"/>
              </w:rPr>
            </w:pPr>
            <w:r>
              <w:rPr>
                <w:rFonts w:ascii="Calibri" w:hAnsi="Calibri" w:cs="Calibri"/>
                <w:b/>
                <w:bCs/>
                <w:color w:val="000000"/>
              </w:rPr>
              <w:t xml:space="preserve">NEW </w:t>
            </w:r>
            <w:r w:rsidRPr="00760A27">
              <w:rPr>
                <w:rFonts w:ascii="Calibri" w:hAnsi="Calibri" w:cs="Calibri"/>
                <w:b/>
                <w:bCs/>
                <w:color w:val="000000"/>
              </w:rPr>
              <w:t xml:space="preserve">MANAGERS CERTICATES ISSUED </w:t>
            </w:r>
          </w:p>
        </w:tc>
      </w:tr>
      <w:tr w:rsidR="00026A09" w:rsidRPr="00760A27" w:rsidTr="00FD1062">
        <w:trPr>
          <w:trHeight w:val="300"/>
        </w:trPr>
        <w:tc>
          <w:tcPr>
            <w:tcW w:w="728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r>
      <w:tr w:rsidR="00026A09" w:rsidRPr="00760A27" w:rsidTr="00FD1062">
        <w:trPr>
          <w:trHeight w:val="300"/>
        </w:trPr>
        <w:tc>
          <w:tcPr>
            <w:tcW w:w="33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6A09" w:rsidRPr="00760A27" w:rsidRDefault="00026A09" w:rsidP="00FD1062">
            <w:pPr>
              <w:jc w:val="center"/>
              <w:rPr>
                <w:rFonts w:ascii="Calibri" w:hAnsi="Calibri" w:cs="Calibri"/>
                <w:b/>
                <w:bCs/>
                <w:color w:val="000000"/>
              </w:rPr>
            </w:pPr>
            <w:r>
              <w:rPr>
                <w:rFonts w:ascii="Calibri" w:hAnsi="Calibri" w:cs="Calibri"/>
                <w:b/>
                <w:bCs/>
                <w:color w:val="000000"/>
              </w:rPr>
              <w:t>2018</w:t>
            </w:r>
            <w:r w:rsidRPr="00760A27">
              <w:rPr>
                <w:rFonts w:ascii="Calibri" w:hAnsi="Calibri" w:cs="Calibri"/>
                <w:b/>
                <w:bCs/>
                <w:color w:val="000000"/>
              </w:rPr>
              <w:t xml:space="preserve"> - 201</w:t>
            </w:r>
            <w:r>
              <w:rPr>
                <w:rFonts w:ascii="Calibri" w:hAnsi="Calibri" w:cs="Calibri"/>
                <w:b/>
                <w:bCs/>
                <w:color w:val="000000"/>
              </w:rPr>
              <w:t>9</w:t>
            </w:r>
          </w:p>
        </w:tc>
        <w:tc>
          <w:tcPr>
            <w:tcW w:w="3911" w:type="dxa"/>
            <w:gridSpan w:val="3"/>
            <w:tcBorders>
              <w:top w:val="single" w:sz="4" w:space="0" w:color="auto"/>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Pr>
                <w:rFonts w:ascii="Calibri" w:hAnsi="Calibri" w:cs="Calibri"/>
                <w:b/>
                <w:bCs/>
                <w:color w:val="000000"/>
              </w:rPr>
              <w:t>(</w:t>
            </w:r>
            <w:r w:rsidRPr="00760A27">
              <w:rPr>
                <w:rFonts w:ascii="Calibri" w:hAnsi="Calibri" w:cs="Calibri"/>
                <w:b/>
                <w:bCs/>
                <w:color w:val="000000"/>
              </w:rPr>
              <w:t xml:space="preserve">2017 </w:t>
            </w:r>
            <w:r>
              <w:rPr>
                <w:rFonts w:ascii="Calibri" w:hAnsi="Calibri" w:cs="Calibri"/>
                <w:b/>
                <w:bCs/>
                <w:color w:val="000000"/>
              </w:rPr>
              <w:t>–</w:t>
            </w:r>
            <w:r w:rsidRPr="00760A27">
              <w:rPr>
                <w:rFonts w:ascii="Calibri" w:hAnsi="Calibri" w:cs="Calibri"/>
                <w:b/>
                <w:bCs/>
                <w:color w:val="000000"/>
              </w:rPr>
              <w:t xml:space="preserve"> 2018</w:t>
            </w:r>
            <w:r>
              <w:rPr>
                <w:rFonts w:ascii="Calibri" w:hAnsi="Calibri" w:cs="Calibri"/>
                <w:b/>
                <w:bCs/>
                <w:color w:val="000000"/>
              </w:rPr>
              <w:t>)</w:t>
            </w:r>
          </w:p>
        </w:tc>
      </w:tr>
      <w:tr w:rsidR="00026A09" w:rsidRPr="00760A27" w:rsidTr="00FD1062">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ISSUED</w:t>
            </w:r>
          </w:p>
        </w:tc>
        <w:tc>
          <w:tcPr>
            <w:tcW w:w="1194"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REFUSED</w:t>
            </w:r>
          </w:p>
        </w:tc>
        <w:tc>
          <w:tcPr>
            <w:tcW w:w="1765"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rPr>
                <w:rFonts w:ascii="Calibri" w:hAnsi="Calibri" w:cs="Calibri"/>
                <w:color w:val="000000"/>
              </w:rPr>
            </w:pPr>
            <w:r w:rsidRPr="00760A27">
              <w:rPr>
                <w:rFonts w:ascii="Calibri" w:hAnsi="Calibri" w:cs="Calibri"/>
                <w:color w:val="000000"/>
              </w:rPr>
              <w:t>WITHDRAWN</w:t>
            </w:r>
          </w:p>
        </w:tc>
        <w:tc>
          <w:tcPr>
            <w:tcW w:w="952"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ISSUED</w:t>
            </w:r>
          </w:p>
        </w:tc>
        <w:tc>
          <w:tcPr>
            <w:tcW w:w="1194"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REFUSED</w:t>
            </w:r>
          </w:p>
        </w:tc>
        <w:tc>
          <w:tcPr>
            <w:tcW w:w="1765"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rPr>
                <w:rFonts w:ascii="Calibri" w:hAnsi="Calibri" w:cs="Calibri"/>
                <w:color w:val="000000"/>
              </w:rPr>
            </w:pPr>
            <w:r w:rsidRPr="00760A27">
              <w:rPr>
                <w:rFonts w:ascii="Calibri" w:hAnsi="Calibri" w:cs="Calibri"/>
                <w:color w:val="000000"/>
              </w:rPr>
              <w:t>WITHDRAWN</w:t>
            </w:r>
          </w:p>
        </w:tc>
      </w:tr>
      <w:tr w:rsidR="00026A09" w:rsidRPr="00760A27" w:rsidTr="00026A09">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tcPr>
          <w:p w:rsidR="00026A09" w:rsidRPr="00760A27" w:rsidRDefault="00026A09" w:rsidP="00FD1062">
            <w:pPr>
              <w:jc w:val="center"/>
              <w:rPr>
                <w:rFonts w:ascii="Calibri" w:hAnsi="Calibri" w:cs="Calibri"/>
                <w:color w:val="000000"/>
              </w:rPr>
            </w:pPr>
            <w:r>
              <w:rPr>
                <w:rFonts w:ascii="Calibri" w:hAnsi="Calibri" w:cs="Calibri"/>
                <w:color w:val="000000"/>
              </w:rPr>
              <w:t>94</w:t>
            </w:r>
          </w:p>
        </w:tc>
        <w:tc>
          <w:tcPr>
            <w:tcW w:w="1194" w:type="dxa"/>
            <w:tcBorders>
              <w:top w:val="nil"/>
              <w:left w:val="nil"/>
              <w:bottom w:val="single" w:sz="4" w:space="0" w:color="auto"/>
              <w:right w:val="single" w:sz="4" w:space="0" w:color="auto"/>
            </w:tcBorders>
            <w:shd w:val="clear" w:color="auto" w:fill="auto"/>
            <w:noWrap/>
            <w:vAlign w:val="bottom"/>
          </w:tcPr>
          <w:p w:rsidR="00026A09" w:rsidRPr="00760A27" w:rsidRDefault="00026A09" w:rsidP="00FD1062">
            <w:pPr>
              <w:jc w:val="center"/>
              <w:rPr>
                <w:rFonts w:ascii="Calibri" w:hAnsi="Calibri" w:cs="Calibri"/>
                <w:color w:val="000000"/>
              </w:rPr>
            </w:pPr>
            <w:r>
              <w:rPr>
                <w:rFonts w:ascii="Calibri" w:hAnsi="Calibri" w:cs="Calibri"/>
                <w:color w:val="000000"/>
              </w:rPr>
              <w:t>0</w:t>
            </w:r>
          </w:p>
        </w:tc>
        <w:tc>
          <w:tcPr>
            <w:tcW w:w="1765" w:type="dxa"/>
            <w:tcBorders>
              <w:top w:val="nil"/>
              <w:left w:val="nil"/>
              <w:bottom w:val="single" w:sz="4" w:space="0" w:color="auto"/>
              <w:right w:val="single" w:sz="4" w:space="0" w:color="auto"/>
            </w:tcBorders>
            <w:shd w:val="clear" w:color="auto" w:fill="auto"/>
            <w:noWrap/>
            <w:vAlign w:val="bottom"/>
          </w:tcPr>
          <w:p w:rsidR="00026A09" w:rsidRPr="00760A27" w:rsidRDefault="00026A09" w:rsidP="00FD1062">
            <w:pPr>
              <w:jc w:val="center"/>
              <w:rPr>
                <w:rFonts w:ascii="Calibri" w:hAnsi="Calibri" w:cs="Calibri"/>
                <w:color w:val="000000"/>
              </w:rPr>
            </w:pPr>
            <w:r>
              <w:rPr>
                <w:rFonts w:ascii="Calibri" w:hAnsi="Calibri" w:cs="Calibri"/>
                <w:color w:val="000000"/>
              </w:rPr>
              <w:t>4</w:t>
            </w:r>
          </w:p>
        </w:tc>
        <w:tc>
          <w:tcPr>
            <w:tcW w:w="952" w:type="dxa"/>
            <w:tcBorders>
              <w:top w:val="nil"/>
              <w:left w:val="nil"/>
              <w:bottom w:val="single" w:sz="4" w:space="0" w:color="auto"/>
              <w:right w:val="single" w:sz="4" w:space="0" w:color="auto"/>
            </w:tcBorders>
            <w:shd w:val="clear" w:color="auto" w:fill="auto"/>
            <w:noWrap/>
            <w:vAlign w:val="bottom"/>
            <w:hideMark/>
          </w:tcPr>
          <w:p w:rsidR="00026A09" w:rsidRPr="00760A27" w:rsidRDefault="00B04F9E" w:rsidP="00FD1062">
            <w:pPr>
              <w:jc w:val="center"/>
              <w:rPr>
                <w:rFonts w:ascii="Calibri" w:hAnsi="Calibri" w:cs="Calibri"/>
                <w:color w:val="000000"/>
              </w:rPr>
            </w:pPr>
            <w:r>
              <w:rPr>
                <w:rFonts w:ascii="Calibri" w:hAnsi="Calibri" w:cs="Calibri"/>
                <w:color w:val="000000"/>
              </w:rPr>
              <w:t>85</w:t>
            </w:r>
          </w:p>
        </w:tc>
        <w:tc>
          <w:tcPr>
            <w:tcW w:w="1194"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0</w:t>
            </w:r>
          </w:p>
        </w:tc>
        <w:tc>
          <w:tcPr>
            <w:tcW w:w="1765"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3</w:t>
            </w:r>
          </w:p>
        </w:tc>
      </w:tr>
      <w:tr w:rsidR="00026A09" w:rsidRPr="00760A27" w:rsidTr="00FD1062">
        <w:trPr>
          <w:trHeight w:val="300"/>
        </w:trPr>
        <w:tc>
          <w:tcPr>
            <w:tcW w:w="418"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1765"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1765"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r>
    </w:tbl>
    <w:p w:rsidR="00026A09" w:rsidRDefault="00026A09" w:rsidP="00853076">
      <w:pPr>
        <w:pStyle w:val="ListParagraph"/>
        <w:ind w:left="360"/>
        <w:rPr>
          <w:i/>
        </w:rPr>
      </w:pPr>
    </w:p>
    <w:p w:rsidR="00026A09" w:rsidRDefault="00026A09" w:rsidP="00853076">
      <w:pPr>
        <w:pStyle w:val="ListParagraph"/>
        <w:ind w:left="360"/>
        <w:rPr>
          <w:i/>
        </w:rPr>
      </w:pPr>
    </w:p>
    <w:p w:rsidR="00026A09" w:rsidRDefault="00026A09" w:rsidP="00853076">
      <w:pPr>
        <w:pStyle w:val="ListParagraph"/>
        <w:ind w:left="360"/>
        <w:rPr>
          <w:i/>
        </w:rPr>
      </w:pPr>
    </w:p>
    <w:p w:rsidR="00026A09" w:rsidRDefault="00026A09" w:rsidP="00853076">
      <w:pPr>
        <w:pStyle w:val="ListParagraph"/>
        <w:ind w:left="360"/>
        <w:rPr>
          <w:i/>
        </w:rPr>
      </w:pPr>
    </w:p>
    <w:tbl>
      <w:tblPr>
        <w:tblW w:w="6520" w:type="dxa"/>
        <w:tblInd w:w="495" w:type="dxa"/>
        <w:tblLook w:val="04A0" w:firstRow="1" w:lastRow="0" w:firstColumn="1" w:lastColumn="0" w:noHBand="0" w:noVBand="1"/>
      </w:tblPr>
      <w:tblGrid>
        <w:gridCol w:w="1874"/>
        <w:gridCol w:w="1030"/>
        <w:gridCol w:w="1293"/>
        <w:gridCol w:w="1030"/>
        <w:gridCol w:w="1293"/>
      </w:tblGrid>
      <w:tr w:rsidR="00026A09" w:rsidRPr="00760A27" w:rsidTr="00FD1062">
        <w:trPr>
          <w:trHeight w:val="300"/>
        </w:trPr>
        <w:tc>
          <w:tcPr>
            <w:tcW w:w="65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Pr>
                <w:rFonts w:ascii="Calibri" w:hAnsi="Calibri" w:cs="Calibri"/>
                <w:b/>
                <w:bCs/>
                <w:color w:val="000000"/>
              </w:rPr>
              <w:lastRenderedPageBreak/>
              <w:t xml:space="preserve">LICENCE RENEWALS </w:t>
            </w:r>
            <w:r w:rsidRPr="00760A27">
              <w:rPr>
                <w:rFonts w:ascii="Calibri" w:hAnsi="Calibri" w:cs="Calibri"/>
                <w:b/>
                <w:bCs/>
                <w:color w:val="000000"/>
              </w:rPr>
              <w:t>(ON, OFF, CLUB)</w:t>
            </w:r>
          </w:p>
        </w:tc>
      </w:tr>
      <w:tr w:rsidR="00026A09" w:rsidRPr="00760A27" w:rsidTr="00FD1062">
        <w:trPr>
          <w:trHeight w:val="300"/>
        </w:trPr>
        <w:tc>
          <w:tcPr>
            <w:tcW w:w="65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sidRPr="00760A27">
              <w:rPr>
                <w:rFonts w:ascii="Calibri" w:hAnsi="Calibri" w:cs="Calibri"/>
                <w:b/>
                <w:bCs/>
                <w:color w:val="000000"/>
              </w:rPr>
              <w:t> </w:t>
            </w:r>
          </w:p>
        </w:tc>
      </w:tr>
      <w:tr w:rsidR="00026A09" w:rsidRPr="00760A27" w:rsidTr="00FD106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23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Pr>
                <w:rFonts w:ascii="Calibri" w:hAnsi="Calibri" w:cs="Calibri"/>
                <w:b/>
                <w:bCs/>
                <w:color w:val="000000"/>
              </w:rPr>
              <w:t>2018</w:t>
            </w:r>
            <w:r w:rsidRPr="00760A27">
              <w:rPr>
                <w:rFonts w:ascii="Calibri" w:hAnsi="Calibri" w:cs="Calibri"/>
                <w:b/>
                <w:bCs/>
                <w:color w:val="000000"/>
              </w:rPr>
              <w:t xml:space="preserve"> - 201</w:t>
            </w:r>
            <w:r>
              <w:rPr>
                <w:rFonts w:ascii="Calibri" w:hAnsi="Calibri" w:cs="Calibri"/>
                <w:b/>
                <w:bCs/>
                <w:color w:val="000000"/>
              </w:rPr>
              <w:t>9</w:t>
            </w:r>
          </w:p>
        </w:tc>
        <w:tc>
          <w:tcPr>
            <w:tcW w:w="23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Pr>
                <w:rFonts w:ascii="Calibri" w:hAnsi="Calibri" w:cs="Calibri"/>
                <w:b/>
                <w:bCs/>
                <w:color w:val="000000"/>
              </w:rPr>
              <w:t>(</w:t>
            </w:r>
            <w:r w:rsidRPr="00760A27">
              <w:rPr>
                <w:rFonts w:ascii="Calibri" w:hAnsi="Calibri" w:cs="Calibri"/>
                <w:b/>
                <w:bCs/>
                <w:color w:val="000000"/>
              </w:rPr>
              <w:t xml:space="preserve">2017 </w:t>
            </w:r>
            <w:r>
              <w:rPr>
                <w:rFonts w:ascii="Calibri" w:hAnsi="Calibri" w:cs="Calibri"/>
                <w:b/>
                <w:bCs/>
                <w:color w:val="000000"/>
              </w:rPr>
              <w:t>–</w:t>
            </w:r>
            <w:r w:rsidRPr="00760A27">
              <w:rPr>
                <w:rFonts w:ascii="Calibri" w:hAnsi="Calibri" w:cs="Calibri"/>
                <w:b/>
                <w:bCs/>
                <w:color w:val="000000"/>
              </w:rPr>
              <w:t xml:space="preserve"> 2018</w:t>
            </w:r>
            <w:r>
              <w:rPr>
                <w:rFonts w:ascii="Calibri" w:hAnsi="Calibri" w:cs="Calibri"/>
                <w:b/>
                <w:bCs/>
                <w:color w:val="000000"/>
              </w:rPr>
              <w:t>)</w:t>
            </w:r>
          </w:p>
        </w:tc>
      </w:tr>
      <w:tr w:rsidR="00026A09" w:rsidRPr="00760A27" w:rsidTr="00FD106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1030"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ISSUED</w:t>
            </w:r>
          </w:p>
        </w:tc>
        <w:tc>
          <w:tcPr>
            <w:tcW w:w="1293"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REFUSED</w:t>
            </w:r>
          </w:p>
        </w:tc>
        <w:tc>
          <w:tcPr>
            <w:tcW w:w="1030"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ISSUED</w:t>
            </w:r>
          </w:p>
        </w:tc>
        <w:tc>
          <w:tcPr>
            <w:tcW w:w="1293"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REFUSED</w:t>
            </w:r>
          </w:p>
        </w:tc>
      </w:tr>
      <w:tr w:rsidR="00026A09" w:rsidRPr="00760A27" w:rsidTr="00FD106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sidRPr="00760A27">
              <w:rPr>
                <w:rFonts w:ascii="Calibri" w:hAnsi="Calibri" w:cs="Calibri"/>
                <w:b/>
                <w:bCs/>
                <w:color w:val="000000"/>
              </w:rPr>
              <w:t>ON LICENCES</w:t>
            </w:r>
          </w:p>
        </w:tc>
        <w:tc>
          <w:tcPr>
            <w:tcW w:w="1030"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53</w:t>
            </w:r>
          </w:p>
        </w:tc>
        <w:tc>
          <w:tcPr>
            <w:tcW w:w="1293"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0</w:t>
            </w:r>
          </w:p>
        </w:tc>
        <w:tc>
          <w:tcPr>
            <w:tcW w:w="1030"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39</w:t>
            </w:r>
          </w:p>
        </w:tc>
        <w:tc>
          <w:tcPr>
            <w:tcW w:w="1293"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0</w:t>
            </w:r>
          </w:p>
        </w:tc>
      </w:tr>
      <w:tr w:rsidR="00026A09" w:rsidRPr="00760A27" w:rsidTr="00FD1062">
        <w:trPr>
          <w:trHeight w:val="300"/>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b/>
                <w:bCs/>
                <w:color w:val="000000"/>
              </w:rPr>
            </w:pPr>
            <w:r w:rsidRPr="00760A27">
              <w:rPr>
                <w:rFonts w:ascii="Calibri" w:hAnsi="Calibri" w:cs="Calibri"/>
                <w:b/>
                <w:bCs/>
                <w:color w:val="000000"/>
              </w:rPr>
              <w:t> </w:t>
            </w:r>
          </w:p>
        </w:tc>
        <w:tc>
          <w:tcPr>
            <w:tcW w:w="1030"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1293"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1030"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c>
          <w:tcPr>
            <w:tcW w:w="1293" w:type="dxa"/>
            <w:tcBorders>
              <w:top w:val="nil"/>
              <w:left w:val="nil"/>
              <w:bottom w:val="single" w:sz="4" w:space="0" w:color="auto"/>
              <w:right w:val="single" w:sz="4" w:space="0" w:color="auto"/>
            </w:tcBorders>
            <w:shd w:val="clear" w:color="auto" w:fill="auto"/>
            <w:noWrap/>
            <w:vAlign w:val="bottom"/>
            <w:hideMark/>
          </w:tcPr>
          <w:p w:rsidR="00026A09" w:rsidRPr="00760A27" w:rsidRDefault="00026A09" w:rsidP="00FD1062">
            <w:pPr>
              <w:jc w:val="center"/>
              <w:rPr>
                <w:rFonts w:ascii="Calibri" w:hAnsi="Calibri" w:cs="Calibri"/>
                <w:color w:val="000000"/>
              </w:rPr>
            </w:pPr>
            <w:r w:rsidRPr="00760A27">
              <w:rPr>
                <w:rFonts w:ascii="Calibri" w:hAnsi="Calibri" w:cs="Calibri"/>
                <w:color w:val="000000"/>
              </w:rPr>
              <w:t> </w:t>
            </w:r>
          </w:p>
        </w:tc>
      </w:tr>
    </w:tbl>
    <w:p w:rsidR="00853076" w:rsidRPr="0020430E" w:rsidRDefault="00853076" w:rsidP="00B04F9E">
      <w:pPr>
        <w:pStyle w:val="ListParagraph"/>
        <w:ind w:left="0"/>
      </w:pPr>
    </w:p>
    <w:p w:rsidR="00853076" w:rsidRPr="0020430E" w:rsidRDefault="00853076" w:rsidP="00853076">
      <w:pPr>
        <w:pStyle w:val="ListParagraph"/>
      </w:pPr>
    </w:p>
    <w:p w:rsidR="00853076" w:rsidRPr="00A12FD2" w:rsidRDefault="00853076" w:rsidP="00853076">
      <w:pPr>
        <w:pStyle w:val="ListParagraph"/>
        <w:numPr>
          <w:ilvl w:val="0"/>
          <w:numId w:val="46"/>
        </w:numPr>
      </w:pPr>
      <w:r w:rsidRPr="00181B18">
        <w:t xml:space="preserve">Please </w:t>
      </w:r>
      <w:r w:rsidRPr="00A12FD2">
        <w:t xml:space="preserve">comment on any </w:t>
      </w:r>
      <w:r>
        <w:t xml:space="preserve">changes or </w:t>
      </w:r>
      <w:r w:rsidRPr="00A12FD2">
        <w:t xml:space="preserve">trends in the </w:t>
      </w:r>
      <w:r>
        <w:t>Committee’s workload in 2018-19.</w:t>
      </w:r>
      <w:r w:rsidRPr="00A12FD2">
        <w:t xml:space="preserve"> </w:t>
      </w:r>
    </w:p>
    <w:p w:rsidR="00853076" w:rsidRPr="0020430E" w:rsidRDefault="00853076" w:rsidP="00853076">
      <w:pPr>
        <w:pStyle w:val="ListParagraph"/>
      </w:pPr>
    </w:p>
    <w:p w:rsidR="00853076" w:rsidRPr="00B04F9E" w:rsidRDefault="00853076" w:rsidP="00853076">
      <w:pPr>
        <w:pStyle w:val="ListParagraph"/>
        <w:numPr>
          <w:ilvl w:val="0"/>
          <w:numId w:val="48"/>
        </w:numPr>
        <w:rPr>
          <w:b/>
        </w:rPr>
      </w:pPr>
      <w:r w:rsidRPr="00B04F9E">
        <w:rPr>
          <w:b/>
        </w:rPr>
        <w:t>Fewer applications determined by way of a DLC hearing.</w:t>
      </w:r>
    </w:p>
    <w:p w:rsidR="00853076" w:rsidRPr="0031710A" w:rsidRDefault="00853076" w:rsidP="00853076">
      <w:pPr>
        <w:pStyle w:val="ListParagraph"/>
        <w:rPr>
          <w:color w:val="FF0000"/>
        </w:rPr>
      </w:pPr>
    </w:p>
    <w:p w:rsidR="00853076" w:rsidRPr="0020430E" w:rsidRDefault="00853076" w:rsidP="00853076">
      <w:pPr>
        <w:pStyle w:val="ListParagraph"/>
      </w:pPr>
    </w:p>
    <w:p w:rsidR="00853076" w:rsidRDefault="00853076" w:rsidP="00853076">
      <w:pPr>
        <w:pStyle w:val="ListParagraph"/>
        <w:numPr>
          <w:ilvl w:val="0"/>
          <w:numId w:val="46"/>
        </w:numPr>
      </w:pPr>
      <w:r>
        <w:t>Please c</w:t>
      </w:r>
      <w:r w:rsidRPr="0020430E">
        <w:t xml:space="preserve">omment on any new initiatives the </w:t>
      </w:r>
      <w:r>
        <w:t>C</w:t>
      </w:r>
      <w:r w:rsidRPr="0020430E">
        <w:t>ommittee</w:t>
      </w:r>
      <w:r>
        <w:t xml:space="preserve"> or Territorial Authority Council </w:t>
      </w:r>
      <w:r w:rsidRPr="0020430E">
        <w:t>has developed/adopted</w:t>
      </w:r>
      <w:r>
        <w:t xml:space="preserve"> in 2018-19.</w:t>
      </w:r>
    </w:p>
    <w:p w:rsidR="00853076" w:rsidRPr="0020430E" w:rsidRDefault="00853076" w:rsidP="00853076">
      <w:pPr>
        <w:pStyle w:val="ListParagraph"/>
        <w:ind w:left="360"/>
      </w:pPr>
    </w:p>
    <w:p w:rsidR="00853076" w:rsidRPr="00B04F9E" w:rsidRDefault="00853076" w:rsidP="00853076">
      <w:pPr>
        <w:pStyle w:val="ListParagraph"/>
        <w:numPr>
          <w:ilvl w:val="0"/>
          <w:numId w:val="48"/>
        </w:numPr>
        <w:rPr>
          <w:b/>
        </w:rPr>
      </w:pPr>
      <w:r w:rsidRPr="00B04F9E">
        <w:rPr>
          <w:b/>
        </w:rPr>
        <w:t>Lice</w:t>
      </w:r>
      <w:r w:rsidR="00B04F9E">
        <w:rPr>
          <w:b/>
        </w:rPr>
        <w:t>nsing I</w:t>
      </w:r>
      <w:r w:rsidRPr="00B04F9E">
        <w:rPr>
          <w:b/>
        </w:rPr>
        <w:t>nspectors have focused on licensee education including Tri</w:t>
      </w:r>
      <w:r w:rsidR="00B04F9E">
        <w:rPr>
          <w:b/>
        </w:rPr>
        <w:t>-</w:t>
      </w:r>
      <w:r w:rsidRPr="00B04F9E">
        <w:rPr>
          <w:b/>
        </w:rPr>
        <w:t xml:space="preserve"> Agency </w:t>
      </w:r>
      <w:r w:rsidR="00A40CE3" w:rsidRPr="00B04F9E">
        <w:rPr>
          <w:b/>
        </w:rPr>
        <w:t xml:space="preserve">(NZ Police, Medical Officer of Health, Inspector) </w:t>
      </w:r>
      <w:r w:rsidRPr="00B04F9E">
        <w:rPr>
          <w:b/>
        </w:rPr>
        <w:t>meetings with Tavern licensees and the distribution of H</w:t>
      </w:r>
      <w:r w:rsidR="00A40CE3" w:rsidRPr="00B04F9E">
        <w:rPr>
          <w:b/>
        </w:rPr>
        <w:t xml:space="preserve">ealth </w:t>
      </w:r>
      <w:r w:rsidRPr="00B04F9E">
        <w:rPr>
          <w:b/>
        </w:rPr>
        <w:t>P</w:t>
      </w:r>
      <w:r w:rsidR="00A40CE3" w:rsidRPr="00B04F9E">
        <w:rPr>
          <w:b/>
        </w:rPr>
        <w:t xml:space="preserve">romotion </w:t>
      </w:r>
      <w:r w:rsidRPr="00B04F9E">
        <w:rPr>
          <w:b/>
        </w:rPr>
        <w:t>A</w:t>
      </w:r>
      <w:r w:rsidR="00A40CE3" w:rsidRPr="00B04F9E">
        <w:rPr>
          <w:b/>
        </w:rPr>
        <w:t>gency</w:t>
      </w:r>
      <w:r w:rsidRPr="00B04F9E">
        <w:rPr>
          <w:b/>
        </w:rPr>
        <w:t xml:space="preserve"> resources.</w:t>
      </w:r>
    </w:p>
    <w:p w:rsidR="00853076" w:rsidRPr="00B04F9E" w:rsidRDefault="00853076" w:rsidP="00853076">
      <w:pPr>
        <w:pStyle w:val="ListParagraph"/>
        <w:numPr>
          <w:ilvl w:val="0"/>
          <w:numId w:val="48"/>
        </w:numPr>
        <w:rPr>
          <w:b/>
        </w:rPr>
      </w:pPr>
      <w:r w:rsidRPr="00B04F9E">
        <w:rPr>
          <w:b/>
        </w:rPr>
        <w:t xml:space="preserve">When Club licences are come up for renewal, it has been suggested to the licensee that the condition permitting the sale of alcohol to guests of a member of a club with reciprocal rights is added to their licence. All but one Club agreed to add the condition as it helps the Club ensure they are only selling to authorised customers. </w:t>
      </w:r>
    </w:p>
    <w:p w:rsidR="00853076" w:rsidRPr="00B04F9E" w:rsidRDefault="00853076" w:rsidP="00853076">
      <w:pPr>
        <w:pStyle w:val="ListParagraph"/>
        <w:numPr>
          <w:ilvl w:val="0"/>
          <w:numId w:val="48"/>
        </w:numPr>
        <w:rPr>
          <w:b/>
        </w:rPr>
      </w:pPr>
      <w:r w:rsidRPr="00B04F9E">
        <w:rPr>
          <w:b/>
        </w:rPr>
        <w:t>Review of the Control of Alcohol in Public Places Bylaw approved in Council on 6 December 2018.</w:t>
      </w:r>
    </w:p>
    <w:p w:rsidR="00853076" w:rsidRPr="0020430E" w:rsidRDefault="00853076" w:rsidP="00853076"/>
    <w:p w:rsidR="00853076" w:rsidRPr="0020430E" w:rsidRDefault="00853076" w:rsidP="00853076">
      <w:pPr>
        <w:pStyle w:val="ListParagraph"/>
        <w:numPr>
          <w:ilvl w:val="0"/>
          <w:numId w:val="46"/>
        </w:numPr>
        <w:ind w:left="357" w:hanging="357"/>
      </w:pPr>
      <w:r w:rsidRPr="0020430E">
        <w:t>Ha</w:t>
      </w:r>
      <w:r>
        <w:t xml:space="preserve">s your Council </w:t>
      </w:r>
      <w:r w:rsidRPr="0020430E">
        <w:t>developed a Local Alcohol Policy</w:t>
      </w:r>
      <w:r>
        <w:t>?</w:t>
      </w:r>
    </w:p>
    <w:p w:rsidR="00853076" w:rsidRPr="00B04F9E" w:rsidRDefault="00853076" w:rsidP="00853076">
      <w:pPr>
        <w:pStyle w:val="ListParagraph"/>
        <w:rPr>
          <w:b/>
        </w:rPr>
      </w:pPr>
      <w:r w:rsidRPr="00B04F9E">
        <w:rPr>
          <w:b/>
        </w:rPr>
        <w:t>No</w:t>
      </w:r>
    </w:p>
    <w:p w:rsidR="00853076" w:rsidRPr="0020430E" w:rsidRDefault="00853076" w:rsidP="00853076">
      <w:r>
        <w:t xml:space="preserve">7A. </w:t>
      </w:r>
      <w:r w:rsidRPr="0020430E">
        <w:t>If the answer is yes</w:t>
      </w:r>
      <w:r>
        <w:t xml:space="preserve">, </w:t>
      </w:r>
      <w:r w:rsidRPr="0020430E">
        <w:t xml:space="preserve">what stage is </w:t>
      </w:r>
      <w:r>
        <w:t xml:space="preserve">your Local Alcohol Policy </w:t>
      </w:r>
      <w:r w:rsidRPr="0020430E">
        <w:t>at?</w:t>
      </w:r>
    </w:p>
    <w:p w:rsidR="00853076" w:rsidRPr="0020430E" w:rsidRDefault="00853076" w:rsidP="00853076">
      <w:pPr>
        <w:pStyle w:val="ListParagraph"/>
      </w:pPr>
      <w:r w:rsidRPr="0020430E">
        <w:t>Draft</w:t>
      </w:r>
    </w:p>
    <w:p w:rsidR="00853076" w:rsidRPr="0020430E" w:rsidRDefault="00853076" w:rsidP="00853076">
      <w:pPr>
        <w:pStyle w:val="ListParagraph"/>
      </w:pPr>
      <w:r w:rsidRPr="0020430E">
        <w:t>Provisional</w:t>
      </w:r>
    </w:p>
    <w:p w:rsidR="00853076" w:rsidRPr="0020430E" w:rsidRDefault="00853076" w:rsidP="00853076">
      <w:pPr>
        <w:pStyle w:val="ListParagraph"/>
      </w:pPr>
      <w:r w:rsidRPr="0020430E">
        <w:t>Under Appeal to ARLA</w:t>
      </w:r>
    </w:p>
    <w:p w:rsidR="00853076" w:rsidRDefault="00853076" w:rsidP="00853076">
      <w:pPr>
        <w:pStyle w:val="ListParagraph"/>
      </w:pPr>
      <w:r w:rsidRPr="0020430E">
        <w:t>A</w:t>
      </w:r>
      <w:r>
        <w:t>dopted</w:t>
      </w:r>
    </w:p>
    <w:p w:rsidR="00853076" w:rsidRPr="0020430E" w:rsidRDefault="00853076" w:rsidP="00853076">
      <w:pPr>
        <w:pStyle w:val="ListParagraph"/>
      </w:pPr>
      <w:r>
        <w:t>In force</w:t>
      </w:r>
    </w:p>
    <w:p w:rsidR="00853076" w:rsidRDefault="00853076" w:rsidP="00853076">
      <w:pPr>
        <w:pStyle w:val="ListParagraph"/>
      </w:pPr>
      <w:r w:rsidRPr="0020430E">
        <w:t>Abandoned</w:t>
      </w:r>
    </w:p>
    <w:p w:rsidR="00853076" w:rsidRPr="0020430E" w:rsidRDefault="00853076" w:rsidP="00853076">
      <w:pPr>
        <w:pStyle w:val="ListParagraph"/>
      </w:pPr>
    </w:p>
    <w:p w:rsidR="00853076" w:rsidRDefault="00853076" w:rsidP="00853076">
      <w:pPr>
        <w:pStyle w:val="ListParagraph"/>
        <w:numPr>
          <w:ilvl w:val="0"/>
          <w:numId w:val="46"/>
        </w:numPr>
      </w:pPr>
      <w:r>
        <w:t xml:space="preserve">If the answer to 7 is yes what are the maximum hours that apply for on licenses in the district? </w:t>
      </w:r>
    </w:p>
    <w:p w:rsidR="00853076" w:rsidRDefault="00853076" w:rsidP="00853076">
      <w:pPr>
        <w:pStyle w:val="ListParagraph"/>
        <w:ind w:left="360"/>
      </w:pPr>
    </w:p>
    <w:p w:rsidR="00853076" w:rsidRDefault="00853076" w:rsidP="00853076">
      <w:pPr>
        <w:pStyle w:val="ListParagraph"/>
        <w:numPr>
          <w:ilvl w:val="0"/>
          <w:numId w:val="46"/>
        </w:numPr>
        <w:spacing w:after="0"/>
      </w:pPr>
      <w:r>
        <w:t xml:space="preserve">If the answer to 7 is yes what are the maximum hours that apply to off licenses in the district? </w:t>
      </w:r>
    </w:p>
    <w:p w:rsidR="00853076" w:rsidRDefault="00853076" w:rsidP="00853076"/>
    <w:p w:rsidR="00853076" w:rsidRPr="0020430E" w:rsidRDefault="00853076" w:rsidP="00853076">
      <w:pPr>
        <w:pStyle w:val="ListParagraph"/>
        <w:numPr>
          <w:ilvl w:val="0"/>
          <w:numId w:val="46"/>
        </w:numPr>
        <w:spacing w:after="100" w:afterAutospacing="1"/>
      </w:pPr>
      <w:r w:rsidRPr="0020430E">
        <w:t xml:space="preserve">If the answer to </w:t>
      </w:r>
      <w:r>
        <w:t>7</w:t>
      </w:r>
      <w:r w:rsidRPr="0020430E">
        <w:t xml:space="preserve"> is </w:t>
      </w:r>
      <w:r>
        <w:t>Y</w:t>
      </w:r>
      <w:r w:rsidRPr="0020430E">
        <w:t>es</w:t>
      </w:r>
      <w:r>
        <w:t xml:space="preserve">, what effect do you consider </w:t>
      </w:r>
      <w:r w:rsidRPr="0020430E">
        <w:t xml:space="preserve">your Local Alcohol Policy </w:t>
      </w:r>
      <w:r>
        <w:t xml:space="preserve">is </w:t>
      </w:r>
      <w:r w:rsidRPr="0020430E">
        <w:t>having?</w:t>
      </w:r>
    </w:p>
    <w:p w:rsidR="00853076" w:rsidRDefault="00853076" w:rsidP="00853076">
      <w:pPr>
        <w:pStyle w:val="ListParagraph"/>
      </w:pPr>
    </w:p>
    <w:p w:rsidR="00853076" w:rsidRPr="0020430E" w:rsidRDefault="00853076" w:rsidP="00853076">
      <w:pPr>
        <w:pStyle w:val="ListParagraph"/>
      </w:pPr>
    </w:p>
    <w:p w:rsidR="00853076" w:rsidRDefault="00853076" w:rsidP="00853076">
      <w:pPr>
        <w:pStyle w:val="ListParagraph"/>
        <w:numPr>
          <w:ilvl w:val="0"/>
          <w:numId w:val="46"/>
        </w:numPr>
        <w:rPr>
          <w:i/>
        </w:rPr>
      </w:pPr>
      <w:r>
        <w:t xml:space="preserve">Please comment on the ways in which you believe the </w:t>
      </w:r>
      <w:r w:rsidRPr="0093793C">
        <w:t xml:space="preserve">Sale and Supply of Alcohol Act 2012 </w:t>
      </w:r>
      <w:r>
        <w:t>is achieving its object. Note: t</w:t>
      </w:r>
      <w:r w:rsidRPr="0020430E">
        <w:t xml:space="preserve">he object of the Sale and Supply of Alcohol Act 2012 </w:t>
      </w:r>
      <w:r>
        <w:t xml:space="preserve">is </w:t>
      </w:r>
      <w:r w:rsidRPr="0020430E">
        <w:t>that</w:t>
      </w:r>
      <w:r>
        <w:t xml:space="preserve">: </w:t>
      </w:r>
    </w:p>
    <w:p w:rsidR="00853076" w:rsidRPr="005C4A0F" w:rsidRDefault="00853076" w:rsidP="00853076">
      <w:pPr>
        <w:pStyle w:val="ListParagraph"/>
        <w:numPr>
          <w:ilvl w:val="0"/>
          <w:numId w:val="47"/>
        </w:numPr>
        <w:rPr>
          <w:i/>
        </w:rPr>
      </w:pPr>
      <w:r w:rsidRPr="005C4A0F">
        <w:rPr>
          <w:i/>
        </w:rPr>
        <w:t>the sale, supply, and consumption of alcohol should be undertaken safely and responsibly; and</w:t>
      </w:r>
    </w:p>
    <w:p w:rsidR="00853076" w:rsidRPr="00181B18" w:rsidRDefault="00853076" w:rsidP="00853076">
      <w:pPr>
        <w:pStyle w:val="ListParagraph"/>
        <w:numPr>
          <w:ilvl w:val="0"/>
          <w:numId w:val="47"/>
        </w:numPr>
        <w:rPr>
          <w:i/>
        </w:rPr>
      </w:pPr>
      <w:r w:rsidRPr="00181B18">
        <w:rPr>
          <w:i/>
        </w:rPr>
        <w:t xml:space="preserve">the harm caused by the excessive or inappropriate consumption of alcohol should be minimised. </w:t>
      </w:r>
    </w:p>
    <w:p w:rsidR="00853076" w:rsidRDefault="00853076" w:rsidP="00853076">
      <w:pPr>
        <w:pStyle w:val="ListParagraph"/>
        <w:rPr>
          <w:color w:val="FF0000"/>
        </w:rPr>
      </w:pPr>
    </w:p>
    <w:p w:rsidR="00853076" w:rsidRPr="00B04F9E" w:rsidRDefault="00853076" w:rsidP="00853076">
      <w:pPr>
        <w:pStyle w:val="ListParagraph"/>
        <w:numPr>
          <w:ilvl w:val="0"/>
          <w:numId w:val="49"/>
        </w:numPr>
        <w:rPr>
          <w:b/>
        </w:rPr>
      </w:pPr>
      <w:r w:rsidRPr="00B04F9E">
        <w:rPr>
          <w:b/>
        </w:rPr>
        <w:t>The legislation provides for ways in which to control the sale, supply and consumption in ON or Club licensed premises, in order to minimise alcohol related harm. However, the majority of alcohol consumed in New Zealand is sold from Off licensed premises, at very cheap prices. The legislation does not provide ways for the DLC and Council to ensure that alcohol sold responsibly in Off licensed premises is consumed safely and responsibly. Once the alcohol is taken off the licensed premises, there is not a mechanism to control consumption in private homes or unregulated areas.</w:t>
      </w:r>
    </w:p>
    <w:p w:rsidR="00853076" w:rsidRPr="00B04F9E" w:rsidRDefault="00853076" w:rsidP="00853076">
      <w:pPr>
        <w:pStyle w:val="ListParagraph"/>
        <w:rPr>
          <w:b/>
        </w:rPr>
      </w:pPr>
    </w:p>
    <w:p w:rsidR="00853076" w:rsidRPr="00B04F9E" w:rsidRDefault="00853076" w:rsidP="00853076">
      <w:pPr>
        <w:pStyle w:val="ListParagraph"/>
        <w:numPr>
          <w:ilvl w:val="0"/>
          <w:numId w:val="49"/>
        </w:numPr>
        <w:rPr>
          <w:rFonts w:ascii="Tahoma" w:eastAsia="Times New Roman" w:hAnsi="Tahoma" w:cs="Tahoma"/>
          <w:b/>
          <w:sz w:val="20"/>
          <w:szCs w:val="20"/>
        </w:rPr>
      </w:pPr>
      <w:r w:rsidRPr="00B04F9E">
        <w:rPr>
          <w:rFonts w:ascii="Tahoma" w:eastAsia="Times New Roman" w:hAnsi="Tahoma" w:cs="Tahoma"/>
          <w:b/>
          <w:sz w:val="20"/>
          <w:szCs w:val="20"/>
        </w:rPr>
        <w:t>In practical terms, LAPs are difficult to develop and, if they are developed, are watered down compared with the community wants.  It would be appropriate to conduct recent and relevant research in New Zealand that could show causal links between alcohol harm, and the density and opening hours of licensed premises.</w:t>
      </w:r>
    </w:p>
    <w:p w:rsidR="00853076" w:rsidRPr="00B04F9E" w:rsidRDefault="00853076" w:rsidP="00853076">
      <w:pPr>
        <w:pStyle w:val="ListParagraph"/>
        <w:rPr>
          <w:rFonts w:ascii="Tahoma" w:eastAsia="Times New Roman" w:hAnsi="Tahoma" w:cs="Tahoma"/>
          <w:b/>
          <w:sz w:val="20"/>
          <w:szCs w:val="20"/>
        </w:rPr>
      </w:pPr>
    </w:p>
    <w:p w:rsidR="00853076" w:rsidRPr="00F67E73" w:rsidRDefault="00853076" w:rsidP="00853076">
      <w:pPr>
        <w:pStyle w:val="ListParagraph"/>
        <w:rPr>
          <w:color w:val="0070C0"/>
        </w:rPr>
      </w:pPr>
    </w:p>
    <w:p w:rsidR="00446CB9" w:rsidRDefault="00446CB9" w:rsidP="00853076">
      <w:pPr>
        <w:ind w:left="360" w:hanging="360"/>
        <w:jc w:val="both"/>
        <w:rPr>
          <w:b/>
          <w:sz w:val="28"/>
          <w:szCs w:val="28"/>
        </w:rPr>
      </w:pPr>
      <w:r>
        <w:rPr>
          <w:rFonts w:ascii="Calibri" w:eastAsia="Calibri" w:hAnsi="Calibri"/>
          <w:szCs w:val="22"/>
          <w:lang w:eastAsia="en-US"/>
        </w:rPr>
        <w:br w:type="page"/>
      </w:r>
    </w:p>
    <w:tbl>
      <w:tblPr>
        <w:tblW w:w="9000" w:type="dxa"/>
        <w:tblInd w:w="108" w:type="dxa"/>
        <w:tblLook w:val="04A0" w:firstRow="1" w:lastRow="0" w:firstColumn="1" w:lastColumn="0" w:noHBand="0" w:noVBand="1"/>
      </w:tblPr>
      <w:tblGrid>
        <w:gridCol w:w="2600"/>
        <w:gridCol w:w="1280"/>
        <w:gridCol w:w="1280"/>
        <w:gridCol w:w="1280"/>
        <w:gridCol w:w="1280"/>
        <w:gridCol w:w="1280"/>
      </w:tblGrid>
      <w:tr w:rsidR="00446CB9" w:rsidRPr="00446CB9" w:rsidTr="00446CB9">
        <w:trPr>
          <w:trHeight w:val="405"/>
        </w:trPr>
        <w:tc>
          <w:tcPr>
            <w:tcW w:w="5160" w:type="dxa"/>
            <w:gridSpan w:val="3"/>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32"/>
                <w:szCs w:val="32"/>
              </w:rPr>
            </w:pPr>
            <w:r w:rsidRPr="00446CB9">
              <w:rPr>
                <w:rFonts w:cs="Arial"/>
                <w:b/>
                <w:bCs/>
                <w:color w:val="000000"/>
                <w:sz w:val="32"/>
                <w:szCs w:val="32"/>
              </w:rPr>
              <w:t>TERRITORIAL AUTHORITY:</w:t>
            </w:r>
          </w:p>
        </w:tc>
        <w:tc>
          <w:tcPr>
            <w:tcW w:w="2560" w:type="dxa"/>
            <w:gridSpan w:val="2"/>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color w:val="000000"/>
                <w:sz w:val="23"/>
                <w:szCs w:val="23"/>
                <w:u w:val="single"/>
              </w:rPr>
            </w:pPr>
            <w:r w:rsidRPr="00446CB9">
              <w:rPr>
                <w:rFonts w:cs="Arial"/>
                <w:color w:val="000000"/>
                <w:sz w:val="23"/>
                <w:szCs w:val="23"/>
                <w:u w:val="single"/>
              </w:rPr>
              <w:t>Kapiti Coast DLC</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color w:val="000000"/>
                <w:sz w:val="23"/>
                <w:szCs w:val="23"/>
                <w:u w:val="single"/>
              </w:rPr>
            </w:pPr>
          </w:p>
        </w:tc>
      </w:tr>
      <w:tr w:rsidR="00446CB9" w:rsidRPr="00446CB9" w:rsidTr="00446CB9">
        <w:trPr>
          <w:trHeight w:val="405"/>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15"/>
        </w:trPr>
        <w:tc>
          <w:tcPr>
            <w:tcW w:w="5160" w:type="dxa"/>
            <w:gridSpan w:val="3"/>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4"/>
                <w:szCs w:val="24"/>
              </w:rPr>
            </w:pPr>
            <w:r w:rsidRPr="00446CB9">
              <w:rPr>
                <w:rFonts w:cs="Arial"/>
                <w:b/>
                <w:bCs/>
                <w:color w:val="000000"/>
                <w:sz w:val="24"/>
                <w:szCs w:val="24"/>
              </w:rPr>
              <w:t>ANNUAL RETURN FOR YEAR PERIOD:</w:t>
            </w:r>
          </w:p>
        </w:tc>
        <w:tc>
          <w:tcPr>
            <w:tcW w:w="3840" w:type="dxa"/>
            <w:gridSpan w:val="3"/>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color w:val="000000"/>
                <w:sz w:val="23"/>
                <w:szCs w:val="23"/>
                <w:u w:val="single"/>
              </w:rPr>
            </w:pPr>
            <w:r>
              <w:rPr>
                <w:rFonts w:cs="Arial"/>
                <w:color w:val="000000"/>
                <w:sz w:val="23"/>
                <w:szCs w:val="23"/>
                <w:u w:val="single"/>
              </w:rPr>
              <w:t>1 July 2018</w:t>
            </w:r>
            <w:r w:rsidRPr="00446CB9">
              <w:rPr>
                <w:rFonts w:cs="Arial"/>
                <w:color w:val="000000"/>
                <w:sz w:val="23"/>
                <w:szCs w:val="23"/>
                <w:u w:val="single"/>
              </w:rPr>
              <w:t xml:space="preserve"> to 30 June 201</w:t>
            </w:r>
            <w:r>
              <w:rPr>
                <w:rFonts w:cs="Arial"/>
                <w:color w:val="000000"/>
                <w:sz w:val="23"/>
                <w:szCs w:val="23"/>
                <w:u w:val="single"/>
              </w:rPr>
              <w:t>9</w:t>
            </w:r>
          </w:p>
        </w:tc>
      </w:tr>
      <w:tr w:rsidR="00446CB9" w:rsidRPr="00446CB9" w:rsidTr="00446CB9">
        <w:trPr>
          <w:trHeight w:val="300"/>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color w:val="000000"/>
                <w:sz w:val="23"/>
                <w:szCs w:val="23"/>
                <w:u w:val="single"/>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15"/>
        </w:trPr>
        <w:tc>
          <w:tcPr>
            <w:tcW w:w="7720" w:type="dxa"/>
            <w:gridSpan w:val="5"/>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4"/>
                <w:szCs w:val="24"/>
                <w:u w:val="single"/>
              </w:rPr>
            </w:pPr>
            <w:r w:rsidRPr="00446CB9">
              <w:rPr>
                <w:rFonts w:cs="Arial"/>
                <w:b/>
                <w:bCs/>
                <w:color w:val="000000"/>
                <w:sz w:val="24"/>
                <w:szCs w:val="24"/>
                <w:u w:val="single"/>
              </w:rPr>
              <w:t>On-licence, off-licence and club licence applications received:</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4"/>
                <w:szCs w:val="24"/>
                <w:u w:val="single"/>
              </w:rPr>
            </w:pPr>
          </w:p>
        </w:tc>
      </w:tr>
      <w:tr w:rsidR="00446CB9" w:rsidRPr="00446CB9" w:rsidTr="00446CB9">
        <w:trPr>
          <w:trHeight w:val="300"/>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765"/>
        </w:trPr>
        <w:tc>
          <w:tcPr>
            <w:tcW w:w="260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446CB9" w:rsidRPr="00446CB9" w:rsidRDefault="00446CB9" w:rsidP="00446CB9">
            <w:pPr>
              <w:tabs>
                <w:tab w:val="clear" w:pos="567"/>
              </w:tabs>
              <w:rPr>
                <w:rFonts w:cs="Arial"/>
                <w:color w:val="000000"/>
                <w:sz w:val="20"/>
              </w:rPr>
            </w:pPr>
            <w:r w:rsidRPr="00446CB9">
              <w:rPr>
                <w:rFonts w:cs="Arial"/>
                <w:color w:val="000000"/>
                <w:sz w:val="20"/>
              </w:rPr>
              <w:t>Application Type</w:t>
            </w:r>
          </w:p>
        </w:tc>
        <w:tc>
          <w:tcPr>
            <w:tcW w:w="1280" w:type="dxa"/>
            <w:tcBorders>
              <w:top w:val="single" w:sz="8" w:space="0" w:color="auto"/>
              <w:left w:val="nil"/>
              <w:bottom w:val="nil"/>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fee category:</w:t>
            </w:r>
          </w:p>
        </w:tc>
        <w:tc>
          <w:tcPr>
            <w:tcW w:w="1280" w:type="dxa"/>
            <w:tcBorders>
              <w:top w:val="single" w:sz="8" w:space="0" w:color="auto"/>
              <w:left w:val="nil"/>
              <w:bottom w:val="nil"/>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fee category:</w:t>
            </w:r>
          </w:p>
        </w:tc>
        <w:tc>
          <w:tcPr>
            <w:tcW w:w="1280" w:type="dxa"/>
            <w:tcBorders>
              <w:top w:val="single" w:sz="8" w:space="0" w:color="auto"/>
              <w:left w:val="nil"/>
              <w:bottom w:val="nil"/>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fee category:</w:t>
            </w:r>
          </w:p>
        </w:tc>
        <w:tc>
          <w:tcPr>
            <w:tcW w:w="1280" w:type="dxa"/>
            <w:tcBorders>
              <w:top w:val="single" w:sz="8" w:space="0" w:color="auto"/>
              <w:left w:val="nil"/>
              <w:bottom w:val="nil"/>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fee category:</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fee category: Very High</w:t>
            </w:r>
          </w:p>
        </w:tc>
      </w:tr>
      <w:tr w:rsidR="00446CB9" w:rsidRPr="00446CB9" w:rsidTr="00446CB9">
        <w:trPr>
          <w:trHeight w:val="300"/>
        </w:trPr>
        <w:tc>
          <w:tcPr>
            <w:tcW w:w="2600" w:type="dxa"/>
            <w:vMerge/>
            <w:tcBorders>
              <w:top w:val="single" w:sz="8" w:space="0" w:color="auto"/>
              <w:left w:val="single" w:sz="8" w:space="0" w:color="auto"/>
              <w:bottom w:val="single" w:sz="8" w:space="0" w:color="000000"/>
              <w:right w:val="single" w:sz="8" w:space="0" w:color="auto"/>
            </w:tcBorders>
            <w:vAlign w:val="center"/>
            <w:hideMark/>
          </w:tcPr>
          <w:p w:rsidR="00446CB9" w:rsidRPr="00446CB9" w:rsidRDefault="00446CB9" w:rsidP="00446CB9">
            <w:pPr>
              <w:tabs>
                <w:tab w:val="clear" w:pos="567"/>
              </w:tabs>
              <w:rPr>
                <w:rFonts w:cs="Arial"/>
                <w:color w:val="000000"/>
                <w:sz w:val="20"/>
              </w:rPr>
            </w:pPr>
          </w:p>
        </w:tc>
        <w:tc>
          <w:tcPr>
            <w:tcW w:w="1280" w:type="dxa"/>
            <w:tcBorders>
              <w:top w:val="nil"/>
              <w:left w:val="nil"/>
              <w:bottom w:val="single" w:sz="8" w:space="0" w:color="auto"/>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Very Low</w:t>
            </w:r>
          </w:p>
        </w:tc>
        <w:tc>
          <w:tcPr>
            <w:tcW w:w="1280" w:type="dxa"/>
            <w:tcBorders>
              <w:top w:val="nil"/>
              <w:left w:val="nil"/>
              <w:bottom w:val="single" w:sz="8" w:space="0" w:color="auto"/>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Low</w:t>
            </w:r>
          </w:p>
        </w:tc>
        <w:tc>
          <w:tcPr>
            <w:tcW w:w="1280" w:type="dxa"/>
            <w:tcBorders>
              <w:top w:val="nil"/>
              <w:left w:val="nil"/>
              <w:bottom w:val="single" w:sz="8" w:space="0" w:color="auto"/>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Medium</w:t>
            </w:r>
          </w:p>
        </w:tc>
        <w:tc>
          <w:tcPr>
            <w:tcW w:w="1280" w:type="dxa"/>
            <w:tcBorders>
              <w:top w:val="nil"/>
              <w:left w:val="nil"/>
              <w:bottom w:val="single" w:sz="8" w:space="0" w:color="auto"/>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High</w:t>
            </w: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446CB9" w:rsidRPr="00446CB9" w:rsidRDefault="00446CB9" w:rsidP="00446CB9">
            <w:pPr>
              <w:tabs>
                <w:tab w:val="clear" w:pos="567"/>
              </w:tabs>
              <w:rPr>
                <w:rFonts w:cs="Arial"/>
                <w:color w:val="000000"/>
                <w:sz w:val="20"/>
              </w:rPr>
            </w:pP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On-licence new</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r>
              <w:rPr>
                <w:rFonts w:cs="Arial"/>
                <w:color w:val="000000"/>
                <w:sz w:val="20"/>
              </w:rPr>
              <w:t>1</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r>
              <w:rPr>
                <w:rFonts w:cs="Arial"/>
                <w:color w:val="000000"/>
                <w:sz w:val="20"/>
              </w:rPr>
              <w:t>9</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1</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On-licence variation</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r>
              <w:rPr>
                <w:rFonts w:cs="Arial"/>
                <w:color w:val="000000"/>
                <w:sz w:val="20"/>
              </w:rPr>
              <w:t>1</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r>
              <w:rPr>
                <w:rFonts w:cs="Arial"/>
                <w:color w:val="000000"/>
                <w:sz w:val="20"/>
              </w:rPr>
              <w:t>1</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3</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On-licence renewal</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r>
              <w:rPr>
                <w:rFonts w:cs="Arial"/>
                <w:color w:val="000000"/>
                <w:sz w:val="20"/>
              </w:rPr>
              <w:t>3</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r>
              <w:rPr>
                <w:rFonts w:cs="Arial"/>
                <w:color w:val="000000"/>
                <w:sz w:val="20"/>
              </w:rPr>
              <w:t>13</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3</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Off-licence new</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r>
              <w:rPr>
                <w:rFonts w:cs="Arial"/>
                <w:color w:val="000000"/>
                <w:sz w:val="20"/>
              </w:rPr>
              <w:t>3</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4</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1</w:t>
            </w: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Off-licence variation</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Off-licence renewal</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r>
              <w:rPr>
                <w:rFonts w:cs="Arial"/>
                <w:color w:val="000000"/>
                <w:sz w:val="20"/>
              </w:rPr>
              <w:t>2</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r>
              <w:rPr>
                <w:rFonts w:cs="Arial"/>
                <w:color w:val="000000"/>
                <w:sz w:val="20"/>
              </w:rPr>
              <w:t>4</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10</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4</w:t>
            </w: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Club licence new</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r>
              <w:rPr>
                <w:rFonts w:cs="Arial"/>
                <w:color w:val="000000"/>
                <w:sz w:val="20"/>
              </w:rPr>
              <w:t>1</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Club licence variation</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Club licence renewal</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r>
              <w:rPr>
                <w:rFonts w:cs="Arial"/>
                <w:color w:val="000000"/>
                <w:sz w:val="20"/>
              </w:rPr>
              <w:t>11</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r>
              <w:rPr>
                <w:rFonts w:cs="Arial"/>
                <w:color w:val="000000"/>
                <w:sz w:val="20"/>
              </w:rPr>
              <w:t>5</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000000" w:fill="D9D9D9"/>
            <w:vAlign w:val="center"/>
            <w:hideMark/>
          </w:tcPr>
          <w:p w:rsidR="00446CB9" w:rsidRPr="00446CB9" w:rsidRDefault="00446CB9" w:rsidP="00446CB9">
            <w:pPr>
              <w:tabs>
                <w:tab w:val="clear" w:pos="567"/>
              </w:tabs>
              <w:rPr>
                <w:rFonts w:cs="Arial"/>
                <w:b/>
                <w:bCs/>
                <w:color w:val="000000"/>
                <w:sz w:val="20"/>
              </w:rPr>
            </w:pPr>
            <w:r w:rsidRPr="00446CB9">
              <w:rPr>
                <w:rFonts w:cs="Arial"/>
                <w:b/>
                <w:bCs/>
                <w:color w:val="000000"/>
                <w:sz w:val="20"/>
              </w:rPr>
              <w:t>Total number</w:t>
            </w:r>
          </w:p>
        </w:tc>
        <w:tc>
          <w:tcPr>
            <w:tcW w:w="1280" w:type="dxa"/>
            <w:tcBorders>
              <w:top w:val="nil"/>
              <w:left w:val="nil"/>
              <w:bottom w:val="single" w:sz="8" w:space="0" w:color="auto"/>
              <w:right w:val="single" w:sz="8" w:space="0" w:color="auto"/>
            </w:tcBorders>
            <w:shd w:val="clear" w:color="000000" w:fill="D9D9D9"/>
            <w:vAlign w:val="center"/>
          </w:tcPr>
          <w:p w:rsidR="00446CB9" w:rsidRPr="00446CB9" w:rsidRDefault="00446CB9" w:rsidP="00446CB9">
            <w:pPr>
              <w:tabs>
                <w:tab w:val="clear" w:pos="567"/>
              </w:tabs>
              <w:jc w:val="center"/>
              <w:rPr>
                <w:rFonts w:cs="Arial"/>
                <w:b/>
                <w:bCs/>
                <w:color w:val="000000"/>
                <w:sz w:val="20"/>
              </w:rPr>
            </w:pPr>
            <w:r>
              <w:rPr>
                <w:rFonts w:cs="Arial"/>
                <w:b/>
                <w:bCs/>
                <w:color w:val="000000"/>
                <w:sz w:val="20"/>
              </w:rPr>
              <w:t>19</w:t>
            </w:r>
          </w:p>
        </w:tc>
        <w:tc>
          <w:tcPr>
            <w:tcW w:w="1280" w:type="dxa"/>
            <w:tcBorders>
              <w:top w:val="nil"/>
              <w:left w:val="nil"/>
              <w:bottom w:val="single" w:sz="8" w:space="0" w:color="auto"/>
              <w:right w:val="single" w:sz="8" w:space="0" w:color="auto"/>
            </w:tcBorders>
            <w:shd w:val="clear" w:color="000000" w:fill="D9D9D9"/>
            <w:vAlign w:val="center"/>
          </w:tcPr>
          <w:p w:rsidR="00446CB9" w:rsidRPr="00446CB9" w:rsidRDefault="00446CB9" w:rsidP="00446CB9">
            <w:pPr>
              <w:tabs>
                <w:tab w:val="clear" w:pos="567"/>
              </w:tabs>
              <w:jc w:val="center"/>
              <w:rPr>
                <w:rFonts w:cs="Arial"/>
                <w:b/>
                <w:bCs/>
                <w:color w:val="000000"/>
                <w:sz w:val="20"/>
              </w:rPr>
            </w:pPr>
            <w:r>
              <w:rPr>
                <w:rFonts w:cs="Arial"/>
                <w:b/>
                <w:bCs/>
                <w:color w:val="000000"/>
                <w:sz w:val="20"/>
              </w:rPr>
              <w:t>35</w:t>
            </w:r>
          </w:p>
        </w:tc>
        <w:tc>
          <w:tcPr>
            <w:tcW w:w="1280" w:type="dxa"/>
            <w:tcBorders>
              <w:top w:val="nil"/>
              <w:left w:val="nil"/>
              <w:bottom w:val="single" w:sz="8" w:space="0" w:color="auto"/>
              <w:right w:val="single" w:sz="8" w:space="0" w:color="auto"/>
            </w:tcBorders>
            <w:shd w:val="clear" w:color="000000" w:fill="D9D9D9"/>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21</w:t>
            </w:r>
          </w:p>
        </w:tc>
        <w:tc>
          <w:tcPr>
            <w:tcW w:w="1280" w:type="dxa"/>
            <w:tcBorders>
              <w:top w:val="nil"/>
              <w:left w:val="nil"/>
              <w:bottom w:val="single" w:sz="8" w:space="0" w:color="auto"/>
              <w:right w:val="single" w:sz="8" w:space="0" w:color="auto"/>
            </w:tcBorders>
            <w:shd w:val="clear" w:color="000000" w:fill="D9D9D9"/>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5</w:t>
            </w:r>
          </w:p>
        </w:tc>
        <w:tc>
          <w:tcPr>
            <w:tcW w:w="1280" w:type="dxa"/>
            <w:tcBorders>
              <w:top w:val="nil"/>
              <w:left w:val="nil"/>
              <w:bottom w:val="single" w:sz="8" w:space="0" w:color="auto"/>
              <w:right w:val="single" w:sz="8" w:space="0" w:color="auto"/>
            </w:tcBorders>
            <w:shd w:val="clear" w:color="000000" w:fill="D9D9D9"/>
            <w:vAlign w:val="center"/>
            <w:hideMark/>
          </w:tcPr>
          <w:p w:rsidR="00446CB9" w:rsidRPr="00446CB9" w:rsidRDefault="00446CB9" w:rsidP="00446CB9">
            <w:pPr>
              <w:tabs>
                <w:tab w:val="clear" w:pos="567"/>
              </w:tabs>
              <w:jc w:val="center"/>
              <w:rPr>
                <w:rFonts w:cs="Arial"/>
                <w:b/>
                <w:bCs/>
                <w:color w:val="000000"/>
                <w:sz w:val="20"/>
              </w:rPr>
            </w:pPr>
            <w:r w:rsidRPr="00446CB9">
              <w:rPr>
                <w:rFonts w:cs="Arial"/>
                <w:b/>
                <w:bCs/>
                <w:color w:val="000000"/>
                <w:sz w:val="20"/>
              </w:rPr>
              <w:t>0</w:t>
            </w:r>
          </w:p>
        </w:tc>
      </w:tr>
      <w:tr w:rsidR="00446CB9" w:rsidRPr="00446CB9" w:rsidTr="00446CB9">
        <w:trPr>
          <w:trHeight w:val="555"/>
        </w:trPr>
        <w:tc>
          <w:tcPr>
            <w:tcW w:w="2600" w:type="dxa"/>
            <w:tcBorders>
              <w:top w:val="nil"/>
              <w:left w:val="single" w:sz="8" w:space="0" w:color="auto"/>
              <w:bottom w:val="nil"/>
              <w:right w:val="single" w:sz="8" w:space="0" w:color="auto"/>
            </w:tcBorders>
            <w:shd w:val="clear" w:color="000000" w:fill="D9D9D9"/>
            <w:hideMark/>
          </w:tcPr>
          <w:p w:rsidR="00446CB9" w:rsidRPr="00446CB9" w:rsidRDefault="00446CB9" w:rsidP="00446CB9">
            <w:pPr>
              <w:tabs>
                <w:tab w:val="clear" w:pos="567"/>
              </w:tabs>
              <w:rPr>
                <w:rFonts w:cs="Arial"/>
                <w:b/>
                <w:bCs/>
                <w:color w:val="000000"/>
                <w:sz w:val="20"/>
              </w:rPr>
            </w:pPr>
            <w:r w:rsidRPr="00446CB9">
              <w:rPr>
                <w:rFonts w:cs="Arial"/>
                <w:b/>
                <w:bCs/>
                <w:color w:val="000000"/>
                <w:sz w:val="20"/>
              </w:rPr>
              <w:t>Total Fee paid to ARLA</w:t>
            </w:r>
          </w:p>
        </w:tc>
        <w:tc>
          <w:tcPr>
            <w:tcW w:w="1280" w:type="dxa"/>
            <w:vMerge w:val="restart"/>
            <w:tcBorders>
              <w:top w:val="nil"/>
              <w:left w:val="single" w:sz="8" w:space="0" w:color="auto"/>
              <w:bottom w:val="single" w:sz="8" w:space="0" w:color="000000"/>
              <w:right w:val="single" w:sz="8" w:space="0" w:color="auto"/>
            </w:tcBorders>
            <w:shd w:val="clear" w:color="000000" w:fill="D9D9D9"/>
            <w:vAlign w:val="center"/>
          </w:tcPr>
          <w:p w:rsidR="00446CB9" w:rsidRPr="00446CB9" w:rsidRDefault="00446CB9" w:rsidP="00446CB9">
            <w:pPr>
              <w:tabs>
                <w:tab w:val="clear" w:pos="567"/>
              </w:tabs>
              <w:jc w:val="center"/>
              <w:rPr>
                <w:rFonts w:cs="Arial"/>
                <w:b/>
                <w:bCs/>
                <w:color w:val="000000"/>
                <w:sz w:val="20"/>
              </w:rPr>
            </w:pPr>
            <w:r>
              <w:rPr>
                <w:rFonts w:cs="Arial"/>
                <w:b/>
                <w:bCs/>
                <w:color w:val="000000"/>
                <w:sz w:val="20"/>
              </w:rPr>
              <w:t>$327.75</w:t>
            </w:r>
          </w:p>
        </w:tc>
        <w:tc>
          <w:tcPr>
            <w:tcW w:w="1280" w:type="dxa"/>
            <w:vMerge w:val="restart"/>
            <w:tcBorders>
              <w:top w:val="nil"/>
              <w:left w:val="single" w:sz="8" w:space="0" w:color="auto"/>
              <w:bottom w:val="single" w:sz="8" w:space="0" w:color="000000"/>
              <w:right w:val="single" w:sz="8" w:space="0" w:color="auto"/>
            </w:tcBorders>
            <w:shd w:val="clear" w:color="000000" w:fill="D9D9D9"/>
            <w:vAlign w:val="center"/>
          </w:tcPr>
          <w:p w:rsidR="00446CB9" w:rsidRPr="00446CB9" w:rsidRDefault="00446CB9" w:rsidP="00446CB9">
            <w:pPr>
              <w:tabs>
                <w:tab w:val="clear" w:pos="567"/>
              </w:tabs>
              <w:jc w:val="center"/>
              <w:rPr>
                <w:rFonts w:cs="Arial"/>
                <w:b/>
                <w:bCs/>
                <w:color w:val="000000"/>
                <w:sz w:val="20"/>
              </w:rPr>
            </w:pPr>
            <w:r>
              <w:rPr>
                <w:rFonts w:cs="Arial"/>
                <w:b/>
                <w:bCs/>
                <w:color w:val="000000"/>
                <w:sz w:val="20"/>
              </w:rPr>
              <w:t>$1,207.50</w:t>
            </w:r>
          </w:p>
        </w:tc>
        <w:tc>
          <w:tcPr>
            <w:tcW w:w="1280" w:type="dxa"/>
            <w:vMerge w:val="restart"/>
            <w:tcBorders>
              <w:top w:val="nil"/>
              <w:left w:val="single" w:sz="8" w:space="0" w:color="auto"/>
              <w:bottom w:val="single" w:sz="8" w:space="0" w:color="000000"/>
              <w:right w:val="single" w:sz="8" w:space="0" w:color="auto"/>
            </w:tcBorders>
            <w:shd w:val="clear" w:color="000000" w:fill="D9D9D9"/>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$1,086.75</w:t>
            </w:r>
          </w:p>
        </w:tc>
        <w:tc>
          <w:tcPr>
            <w:tcW w:w="1280" w:type="dxa"/>
            <w:vMerge w:val="restart"/>
            <w:tcBorders>
              <w:top w:val="nil"/>
              <w:left w:val="single" w:sz="8" w:space="0" w:color="auto"/>
              <w:bottom w:val="single" w:sz="8" w:space="0" w:color="000000"/>
              <w:right w:val="single" w:sz="8" w:space="0" w:color="auto"/>
            </w:tcBorders>
            <w:shd w:val="clear" w:color="000000" w:fill="D9D9D9"/>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$431.25</w:t>
            </w:r>
          </w:p>
        </w:tc>
        <w:tc>
          <w:tcPr>
            <w:tcW w:w="12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46CB9" w:rsidRPr="00446CB9" w:rsidRDefault="00446CB9" w:rsidP="00446CB9">
            <w:pPr>
              <w:tabs>
                <w:tab w:val="clear" w:pos="567"/>
              </w:tabs>
              <w:jc w:val="center"/>
              <w:rPr>
                <w:rFonts w:cs="Arial"/>
                <w:b/>
                <w:bCs/>
                <w:color w:val="000000"/>
                <w:sz w:val="20"/>
              </w:rPr>
            </w:pPr>
            <w:r w:rsidRPr="00446CB9">
              <w:rPr>
                <w:rFonts w:cs="Arial"/>
                <w:b/>
                <w:bCs/>
                <w:color w:val="000000"/>
                <w:sz w:val="20"/>
              </w:rPr>
              <w:t xml:space="preserve"> $             -   </w:t>
            </w:r>
          </w:p>
        </w:tc>
      </w:tr>
      <w:tr w:rsidR="00446CB9" w:rsidRPr="00446CB9" w:rsidTr="00446CB9">
        <w:trPr>
          <w:trHeight w:val="300"/>
        </w:trPr>
        <w:tc>
          <w:tcPr>
            <w:tcW w:w="2600" w:type="dxa"/>
            <w:tcBorders>
              <w:top w:val="nil"/>
              <w:left w:val="single" w:sz="8" w:space="0" w:color="auto"/>
              <w:bottom w:val="single" w:sz="8" w:space="0" w:color="auto"/>
              <w:right w:val="single" w:sz="8" w:space="0" w:color="auto"/>
            </w:tcBorders>
            <w:shd w:val="clear" w:color="000000" w:fill="D9D9D9"/>
            <w:hideMark/>
          </w:tcPr>
          <w:p w:rsidR="00446CB9" w:rsidRPr="00446CB9" w:rsidRDefault="00446CB9" w:rsidP="00446CB9">
            <w:pPr>
              <w:tabs>
                <w:tab w:val="clear" w:pos="567"/>
              </w:tabs>
              <w:rPr>
                <w:rFonts w:cs="Arial"/>
                <w:b/>
                <w:bCs/>
                <w:color w:val="000000"/>
                <w:sz w:val="20"/>
              </w:rPr>
            </w:pPr>
            <w:r w:rsidRPr="00446CB9">
              <w:rPr>
                <w:rFonts w:cs="Arial"/>
                <w:b/>
                <w:bCs/>
                <w:color w:val="000000"/>
                <w:sz w:val="20"/>
              </w:rPr>
              <w:t>(GST incl)</w:t>
            </w:r>
          </w:p>
        </w:tc>
        <w:tc>
          <w:tcPr>
            <w:tcW w:w="1280" w:type="dxa"/>
            <w:vMerge/>
            <w:tcBorders>
              <w:top w:val="nil"/>
              <w:left w:val="single" w:sz="8" w:space="0" w:color="auto"/>
              <w:bottom w:val="single" w:sz="8" w:space="0" w:color="000000"/>
              <w:right w:val="single" w:sz="8" w:space="0" w:color="auto"/>
            </w:tcBorders>
            <w:vAlign w:val="center"/>
          </w:tcPr>
          <w:p w:rsidR="00446CB9" w:rsidRPr="00446CB9" w:rsidRDefault="00446CB9" w:rsidP="00446CB9">
            <w:pPr>
              <w:tabs>
                <w:tab w:val="clear" w:pos="567"/>
              </w:tabs>
              <w:rPr>
                <w:rFonts w:cs="Arial"/>
                <w:b/>
                <w:bCs/>
                <w:color w:val="000000"/>
                <w:sz w:val="20"/>
              </w:rPr>
            </w:pPr>
          </w:p>
        </w:tc>
        <w:tc>
          <w:tcPr>
            <w:tcW w:w="1280" w:type="dxa"/>
            <w:vMerge/>
            <w:tcBorders>
              <w:top w:val="nil"/>
              <w:left w:val="single" w:sz="8" w:space="0" w:color="auto"/>
              <w:bottom w:val="single" w:sz="8" w:space="0" w:color="000000"/>
              <w:right w:val="single" w:sz="8" w:space="0" w:color="auto"/>
            </w:tcBorders>
            <w:vAlign w:val="center"/>
          </w:tcPr>
          <w:p w:rsidR="00446CB9" w:rsidRPr="00446CB9" w:rsidRDefault="00446CB9" w:rsidP="00446CB9">
            <w:pPr>
              <w:tabs>
                <w:tab w:val="clear" w:pos="567"/>
              </w:tabs>
              <w:rPr>
                <w:rFonts w:cs="Arial"/>
                <w:b/>
                <w:bCs/>
                <w:color w:val="000000"/>
                <w:sz w:val="20"/>
              </w:rPr>
            </w:pPr>
          </w:p>
        </w:tc>
        <w:tc>
          <w:tcPr>
            <w:tcW w:w="1280" w:type="dxa"/>
            <w:vMerge/>
            <w:tcBorders>
              <w:top w:val="nil"/>
              <w:left w:val="single" w:sz="8" w:space="0" w:color="auto"/>
              <w:bottom w:val="single" w:sz="8" w:space="0" w:color="000000"/>
              <w:right w:val="single" w:sz="8" w:space="0" w:color="auto"/>
            </w:tcBorders>
            <w:vAlign w:val="center"/>
          </w:tcPr>
          <w:p w:rsidR="00446CB9" w:rsidRPr="00446CB9" w:rsidRDefault="00446CB9" w:rsidP="00446CB9">
            <w:pPr>
              <w:tabs>
                <w:tab w:val="clear" w:pos="567"/>
              </w:tabs>
              <w:rPr>
                <w:rFonts w:cs="Arial"/>
                <w:b/>
                <w:bCs/>
                <w:color w:val="000000"/>
                <w:sz w:val="20"/>
              </w:rPr>
            </w:pPr>
          </w:p>
        </w:tc>
        <w:tc>
          <w:tcPr>
            <w:tcW w:w="1280" w:type="dxa"/>
            <w:vMerge/>
            <w:tcBorders>
              <w:top w:val="nil"/>
              <w:left w:val="single" w:sz="8" w:space="0" w:color="auto"/>
              <w:bottom w:val="single" w:sz="8" w:space="0" w:color="000000"/>
              <w:right w:val="single" w:sz="8" w:space="0" w:color="auto"/>
            </w:tcBorders>
            <w:vAlign w:val="center"/>
          </w:tcPr>
          <w:p w:rsidR="00446CB9" w:rsidRPr="00446CB9" w:rsidRDefault="00446CB9" w:rsidP="00446CB9">
            <w:pPr>
              <w:tabs>
                <w:tab w:val="clear" w:pos="567"/>
              </w:tabs>
              <w:rPr>
                <w:rFonts w:cs="Arial"/>
                <w:b/>
                <w:bCs/>
                <w:color w:val="000000"/>
                <w:sz w:val="20"/>
              </w:rPr>
            </w:pPr>
          </w:p>
        </w:tc>
        <w:tc>
          <w:tcPr>
            <w:tcW w:w="1280" w:type="dxa"/>
            <w:vMerge/>
            <w:tcBorders>
              <w:top w:val="nil"/>
              <w:left w:val="single" w:sz="8" w:space="0" w:color="auto"/>
              <w:bottom w:val="single" w:sz="8" w:space="0" w:color="000000"/>
              <w:right w:val="single" w:sz="8" w:space="0" w:color="auto"/>
            </w:tcBorders>
            <w:vAlign w:val="center"/>
            <w:hideMark/>
          </w:tcPr>
          <w:p w:rsidR="00446CB9" w:rsidRPr="00446CB9" w:rsidRDefault="00446CB9" w:rsidP="00446CB9">
            <w:pPr>
              <w:tabs>
                <w:tab w:val="clear" w:pos="567"/>
              </w:tabs>
              <w:rPr>
                <w:rFonts w:cs="Arial"/>
                <w:b/>
                <w:bCs/>
                <w:color w:val="000000"/>
                <w:sz w:val="20"/>
              </w:rPr>
            </w:pPr>
          </w:p>
        </w:tc>
      </w:tr>
      <w:tr w:rsidR="00446CB9" w:rsidRPr="00446CB9" w:rsidTr="00446CB9">
        <w:trPr>
          <w:trHeight w:val="285"/>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15"/>
        </w:trPr>
        <w:tc>
          <w:tcPr>
            <w:tcW w:w="5160" w:type="dxa"/>
            <w:gridSpan w:val="3"/>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4"/>
                <w:szCs w:val="24"/>
                <w:u w:val="single"/>
              </w:rPr>
            </w:pPr>
            <w:r w:rsidRPr="00446CB9">
              <w:rPr>
                <w:rFonts w:cs="Arial"/>
                <w:b/>
                <w:bCs/>
                <w:color w:val="000000"/>
                <w:sz w:val="24"/>
                <w:szCs w:val="24"/>
                <w:u w:val="single"/>
              </w:rPr>
              <w:t>Annual fees for existing licences received:</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4"/>
                <w:szCs w:val="24"/>
                <w:u w:val="single"/>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00"/>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765"/>
        </w:trPr>
        <w:tc>
          <w:tcPr>
            <w:tcW w:w="260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446CB9" w:rsidRPr="00446CB9" w:rsidRDefault="00446CB9" w:rsidP="00446CB9">
            <w:pPr>
              <w:tabs>
                <w:tab w:val="clear" w:pos="567"/>
              </w:tabs>
              <w:rPr>
                <w:rFonts w:cs="Arial"/>
                <w:color w:val="000000"/>
                <w:sz w:val="20"/>
              </w:rPr>
            </w:pPr>
            <w:r w:rsidRPr="00446CB9">
              <w:rPr>
                <w:rFonts w:cs="Arial"/>
                <w:color w:val="000000"/>
                <w:sz w:val="20"/>
              </w:rPr>
              <w:t>Licence Type</w:t>
            </w:r>
          </w:p>
        </w:tc>
        <w:tc>
          <w:tcPr>
            <w:tcW w:w="1280" w:type="dxa"/>
            <w:tcBorders>
              <w:top w:val="single" w:sz="8" w:space="0" w:color="auto"/>
              <w:left w:val="nil"/>
              <w:bottom w:val="nil"/>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fee category:</w:t>
            </w:r>
          </w:p>
        </w:tc>
        <w:tc>
          <w:tcPr>
            <w:tcW w:w="1280" w:type="dxa"/>
            <w:tcBorders>
              <w:top w:val="single" w:sz="8" w:space="0" w:color="auto"/>
              <w:left w:val="nil"/>
              <w:bottom w:val="nil"/>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fee category:</w:t>
            </w:r>
          </w:p>
        </w:tc>
        <w:tc>
          <w:tcPr>
            <w:tcW w:w="1280" w:type="dxa"/>
            <w:tcBorders>
              <w:top w:val="single" w:sz="8" w:space="0" w:color="auto"/>
              <w:left w:val="nil"/>
              <w:bottom w:val="nil"/>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fee category:</w:t>
            </w:r>
          </w:p>
        </w:tc>
        <w:tc>
          <w:tcPr>
            <w:tcW w:w="1280" w:type="dxa"/>
            <w:tcBorders>
              <w:top w:val="single" w:sz="8" w:space="0" w:color="auto"/>
              <w:left w:val="nil"/>
              <w:bottom w:val="nil"/>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fee category:</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fee category: Very High</w:t>
            </w:r>
          </w:p>
        </w:tc>
      </w:tr>
      <w:tr w:rsidR="00446CB9" w:rsidRPr="00446CB9" w:rsidTr="00446CB9">
        <w:trPr>
          <w:trHeight w:val="300"/>
        </w:trPr>
        <w:tc>
          <w:tcPr>
            <w:tcW w:w="2600" w:type="dxa"/>
            <w:vMerge/>
            <w:tcBorders>
              <w:top w:val="single" w:sz="8" w:space="0" w:color="auto"/>
              <w:left w:val="single" w:sz="8" w:space="0" w:color="auto"/>
              <w:bottom w:val="single" w:sz="8" w:space="0" w:color="000000"/>
              <w:right w:val="single" w:sz="8" w:space="0" w:color="auto"/>
            </w:tcBorders>
            <w:vAlign w:val="center"/>
            <w:hideMark/>
          </w:tcPr>
          <w:p w:rsidR="00446CB9" w:rsidRPr="00446CB9" w:rsidRDefault="00446CB9" w:rsidP="00446CB9">
            <w:pPr>
              <w:tabs>
                <w:tab w:val="clear" w:pos="567"/>
              </w:tabs>
              <w:rPr>
                <w:rFonts w:cs="Arial"/>
                <w:color w:val="000000"/>
                <w:sz w:val="20"/>
              </w:rPr>
            </w:pPr>
          </w:p>
        </w:tc>
        <w:tc>
          <w:tcPr>
            <w:tcW w:w="1280" w:type="dxa"/>
            <w:tcBorders>
              <w:top w:val="nil"/>
              <w:left w:val="nil"/>
              <w:bottom w:val="single" w:sz="8" w:space="0" w:color="auto"/>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Very Low</w:t>
            </w:r>
          </w:p>
        </w:tc>
        <w:tc>
          <w:tcPr>
            <w:tcW w:w="1280" w:type="dxa"/>
            <w:tcBorders>
              <w:top w:val="nil"/>
              <w:left w:val="nil"/>
              <w:bottom w:val="single" w:sz="8" w:space="0" w:color="auto"/>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Low</w:t>
            </w:r>
          </w:p>
        </w:tc>
        <w:tc>
          <w:tcPr>
            <w:tcW w:w="1280" w:type="dxa"/>
            <w:tcBorders>
              <w:top w:val="nil"/>
              <w:left w:val="nil"/>
              <w:bottom w:val="single" w:sz="8" w:space="0" w:color="auto"/>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Medium</w:t>
            </w:r>
          </w:p>
        </w:tc>
        <w:tc>
          <w:tcPr>
            <w:tcW w:w="1280" w:type="dxa"/>
            <w:tcBorders>
              <w:top w:val="nil"/>
              <w:left w:val="nil"/>
              <w:bottom w:val="single" w:sz="8" w:space="0" w:color="auto"/>
              <w:right w:val="single" w:sz="8" w:space="0" w:color="auto"/>
            </w:tcBorders>
            <w:shd w:val="clear" w:color="000000" w:fill="D9D9D9"/>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High</w:t>
            </w: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446CB9" w:rsidRPr="00446CB9" w:rsidRDefault="00446CB9" w:rsidP="00446CB9">
            <w:pPr>
              <w:tabs>
                <w:tab w:val="clear" w:pos="567"/>
              </w:tabs>
              <w:rPr>
                <w:rFonts w:cs="Arial"/>
                <w:color w:val="000000"/>
                <w:sz w:val="20"/>
              </w:rPr>
            </w:pP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On-licence</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7</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31</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21</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Off-licence</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3</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7</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21</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3</w:t>
            </w: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Club licence</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20</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5</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1</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r>
      <w:tr w:rsidR="00446CB9" w:rsidRPr="00446CB9" w:rsidTr="00446CB9">
        <w:trPr>
          <w:trHeight w:val="402"/>
        </w:trPr>
        <w:tc>
          <w:tcPr>
            <w:tcW w:w="2600" w:type="dxa"/>
            <w:tcBorders>
              <w:top w:val="nil"/>
              <w:left w:val="single" w:sz="8" w:space="0" w:color="auto"/>
              <w:bottom w:val="single" w:sz="8" w:space="0" w:color="auto"/>
              <w:right w:val="single" w:sz="8" w:space="0" w:color="auto"/>
            </w:tcBorders>
            <w:shd w:val="clear" w:color="000000" w:fill="D9D9D9"/>
            <w:vAlign w:val="center"/>
            <w:hideMark/>
          </w:tcPr>
          <w:p w:rsidR="00446CB9" w:rsidRPr="00446CB9" w:rsidRDefault="00446CB9" w:rsidP="00446CB9">
            <w:pPr>
              <w:tabs>
                <w:tab w:val="clear" w:pos="567"/>
              </w:tabs>
              <w:rPr>
                <w:rFonts w:cs="Arial"/>
                <w:b/>
                <w:bCs/>
                <w:color w:val="000000"/>
                <w:sz w:val="20"/>
              </w:rPr>
            </w:pPr>
            <w:r w:rsidRPr="00446CB9">
              <w:rPr>
                <w:rFonts w:cs="Arial"/>
                <w:b/>
                <w:bCs/>
                <w:color w:val="000000"/>
                <w:sz w:val="20"/>
              </w:rPr>
              <w:t>Total number</w:t>
            </w:r>
          </w:p>
        </w:tc>
        <w:tc>
          <w:tcPr>
            <w:tcW w:w="1280" w:type="dxa"/>
            <w:tcBorders>
              <w:top w:val="nil"/>
              <w:left w:val="nil"/>
              <w:bottom w:val="single" w:sz="8" w:space="0" w:color="auto"/>
              <w:right w:val="single" w:sz="8" w:space="0" w:color="auto"/>
            </w:tcBorders>
            <w:shd w:val="clear" w:color="000000" w:fill="D9D9D9"/>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30</w:t>
            </w:r>
          </w:p>
        </w:tc>
        <w:tc>
          <w:tcPr>
            <w:tcW w:w="1280" w:type="dxa"/>
            <w:tcBorders>
              <w:top w:val="nil"/>
              <w:left w:val="nil"/>
              <w:bottom w:val="single" w:sz="8" w:space="0" w:color="auto"/>
              <w:right w:val="single" w:sz="8" w:space="0" w:color="auto"/>
            </w:tcBorders>
            <w:shd w:val="clear" w:color="000000" w:fill="D9D9D9"/>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43</w:t>
            </w:r>
          </w:p>
        </w:tc>
        <w:tc>
          <w:tcPr>
            <w:tcW w:w="1280" w:type="dxa"/>
            <w:tcBorders>
              <w:top w:val="nil"/>
              <w:left w:val="nil"/>
              <w:bottom w:val="single" w:sz="8" w:space="0" w:color="auto"/>
              <w:right w:val="single" w:sz="8" w:space="0" w:color="auto"/>
            </w:tcBorders>
            <w:shd w:val="clear" w:color="000000" w:fill="D9D9D9"/>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43</w:t>
            </w:r>
          </w:p>
        </w:tc>
        <w:tc>
          <w:tcPr>
            <w:tcW w:w="1280" w:type="dxa"/>
            <w:tcBorders>
              <w:top w:val="nil"/>
              <w:left w:val="nil"/>
              <w:bottom w:val="single" w:sz="8" w:space="0" w:color="auto"/>
              <w:right w:val="single" w:sz="8" w:space="0" w:color="auto"/>
            </w:tcBorders>
            <w:shd w:val="clear" w:color="000000" w:fill="D9D9D9"/>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3</w:t>
            </w:r>
          </w:p>
        </w:tc>
        <w:tc>
          <w:tcPr>
            <w:tcW w:w="1280" w:type="dxa"/>
            <w:tcBorders>
              <w:top w:val="nil"/>
              <w:left w:val="nil"/>
              <w:bottom w:val="single" w:sz="8" w:space="0" w:color="auto"/>
              <w:right w:val="single" w:sz="8" w:space="0" w:color="auto"/>
            </w:tcBorders>
            <w:shd w:val="clear" w:color="000000" w:fill="D9D9D9"/>
            <w:vAlign w:val="center"/>
            <w:hideMark/>
          </w:tcPr>
          <w:p w:rsidR="00446CB9" w:rsidRPr="00446CB9" w:rsidRDefault="00446CB9" w:rsidP="00446CB9">
            <w:pPr>
              <w:tabs>
                <w:tab w:val="clear" w:pos="567"/>
              </w:tabs>
              <w:jc w:val="center"/>
              <w:rPr>
                <w:rFonts w:cs="Arial"/>
                <w:b/>
                <w:bCs/>
                <w:color w:val="000000"/>
                <w:sz w:val="20"/>
              </w:rPr>
            </w:pPr>
            <w:r w:rsidRPr="00446CB9">
              <w:rPr>
                <w:rFonts w:cs="Arial"/>
                <w:b/>
                <w:bCs/>
                <w:color w:val="000000"/>
                <w:sz w:val="20"/>
              </w:rPr>
              <w:t>0</w:t>
            </w:r>
          </w:p>
        </w:tc>
      </w:tr>
      <w:tr w:rsidR="00446CB9" w:rsidRPr="00446CB9" w:rsidTr="00446CB9">
        <w:trPr>
          <w:trHeight w:val="510"/>
        </w:trPr>
        <w:tc>
          <w:tcPr>
            <w:tcW w:w="2600" w:type="dxa"/>
            <w:tcBorders>
              <w:top w:val="nil"/>
              <w:left w:val="single" w:sz="8" w:space="0" w:color="auto"/>
              <w:bottom w:val="nil"/>
              <w:right w:val="single" w:sz="8" w:space="0" w:color="auto"/>
            </w:tcBorders>
            <w:shd w:val="clear" w:color="000000" w:fill="D9D9D9"/>
            <w:hideMark/>
          </w:tcPr>
          <w:p w:rsidR="00446CB9" w:rsidRPr="00446CB9" w:rsidRDefault="00446CB9" w:rsidP="00446CB9">
            <w:pPr>
              <w:tabs>
                <w:tab w:val="clear" w:pos="567"/>
              </w:tabs>
              <w:rPr>
                <w:rFonts w:cs="Arial"/>
                <w:b/>
                <w:bCs/>
                <w:color w:val="000000"/>
                <w:sz w:val="20"/>
              </w:rPr>
            </w:pPr>
            <w:r w:rsidRPr="00446CB9">
              <w:rPr>
                <w:rFonts w:cs="Arial"/>
                <w:b/>
                <w:bCs/>
                <w:color w:val="000000"/>
                <w:sz w:val="20"/>
              </w:rPr>
              <w:lastRenderedPageBreak/>
              <w:t>Total Fee paid to ARLA</w:t>
            </w:r>
          </w:p>
        </w:tc>
        <w:tc>
          <w:tcPr>
            <w:tcW w:w="1280" w:type="dxa"/>
            <w:vMerge w:val="restart"/>
            <w:tcBorders>
              <w:top w:val="nil"/>
              <w:left w:val="single" w:sz="8" w:space="0" w:color="auto"/>
              <w:bottom w:val="single" w:sz="8" w:space="0" w:color="000000"/>
              <w:right w:val="single" w:sz="8" w:space="0" w:color="auto"/>
            </w:tcBorders>
            <w:shd w:val="clear" w:color="000000" w:fill="D9D9D9"/>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$517.50</w:t>
            </w:r>
          </w:p>
        </w:tc>
        <w:tc>
          <w:tcPr>
            <w:tcW w:w="1280" w:type="dxa"/>
            <w:vMerge w:val="restart"/>
            <w:tcBorders>
              <w:top w:val="nil"/>
              <w:left w:val="single" w:sz="8" w:space="0" w:color="auto"/>
              <w:bottom w:val="single" w:sz="8" w:space="0" w:color="000000"/>
              <w:right w:val="single" w:sz="8" w:space="0" w:color="auto"/>
            </w:tcBorders>
            <w:shd w:val="clear" w:color="000000" w:fill="D9D9D9"/>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$1,483.50</w:t>
            </w:r>
          </w:p>
        </w:tc>
        <w:tc>
          <w:tcPr>
            <w:tcW w:w="1280" w:type="dxa"/>
            <w:vMerge w:val="restart"/>
            <w:tcBorders>
              <w:top w:val="nil"/>
              <w:left w:val="single" w:sz="8" w:space="0" w:color="auto"/>
              <w:bottom w:val="single" w:sz="8" w:space="0" w:color="000000"/>
              <w:right w:val="single" w:sz="8" w:space="0" w:color="auto"/>
            </w:tcBorders>
            <w:shd w:val="clear" w:color="000000" w:fill="D9D9D9"/>
            <w:vAlign w:val="center"/>
          </w:tcPr>
          <w:p w:rsidR="00446CB9" w:rsidRPr="00446CB9" w:rsidRDefault="0084054A" w:rsidP="00446CB9">
            <w:pPr>
              <w:tabs>
                <w:tab w:val="clear" w:pos="567"/>
              </w:tabs>
              <w:jc w:val="center"/>
              <w:rPr>
                <w:rFonts w:cs="Arial"/>
                <w:b/>
                <w:bCs/>
                <w:color w:val="000000"/>
                <w:sz w:val="20"/>
              </w:rPr>
            </w:pPr>
            <w:r>
              <w:rPr>
                <w:rFonts w:cs="Arial"/>
                <w:b/>
                <w:bCs/>
                <w:color w:val="000000"/>
                <w:sz w:val="20"/>
              </w:rPr>
              <w:t>$2,225.</w:t>
            </w:r>
            <w:r w:rsidR="00776090">
              <w:rPr>
                <w:rFonts w:cs="Arial"/>
                <w:b/>
                <w:bCs/>
                <w:color w:val="000000"/>
                <w:sz w:val="20"/>
              </w:rPr>
              <w:t>25</w:t>
            </w:r>
          </w:p>
        </w:tc>
        <w:tc>
          <w:tcPr>
            <w:tcW w:w="1280" w:type="dxa"/>
            <w:vMerge w:val="restart"/>
            <w:tcBorders>
              <w:top w:val="nil"/>
              <w:left w:val="single" w:sz="8" w:space="0" w:color="auto"/>
              <w:bottom w:val="single" w:sz="8" w:space="0" w:color="000000"/>
              <w:right w:val="single" w:sz="8" w:space="0" w:color="auto"/>
            </w:tcBorders>
            <w:shd w:val="clear" w:color="000000" w:fill="D9D9D9"/>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$258.75</w:t>
            </w:r>
          </w:p>
        </w:tc>
        <w:tc>
          <w:tcPr>
            <w:tcW w:w="12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46CB9" w:rsidRPr="00446CB9" w:rsidRDefault="00446CB9" w:rsidP="00446CB9">
            <w:pPr>
              <w:tabs>
                <w:tab w:val="clear" w:pos="567"/>
              </w:tabs>
              <w:jc w:val="center"/>
              <w:rPr>
                <w:rFonts w:cs="Arial"/>
                <w:b/>
                <w:bCs/>
                <w:color w:val="000000"/>
                <w:sz w:val="20"/>
              </w:rPr>
            </w:pPr>
            <w:r w:rsidRPr="00446CB9">
              <w:rPr>
                <w:rFonts w:cs="Arial"/>
                <w:b/>
                <w:bCs/>
                <w:color w:val="000000"/>
                <w:sz w:val="20"/>
              </w:rPr>
              <w:t xml:space="preserve"> $             -   </w:t>
            </w:r>
          </w:p>
        </w:tc>
      </w:tr>
      <w:tr w:rsidR="00446CB9" w:rsidRPr="00446CB9" w:rsidTr="00446CB9">
        <w:trPr>
          <w:trHeight w:val="300"/>
        </w:trPr>
        <w:tc>
          <w:tcPr>
            <w:tcW w:w="2600" w:type="dxa"/>
            <w:tcBorders>
              <w:top w:val="nil"/>
              <w:left w:val="single" w:sz="8" w:space="0" w:color="auto"/>
              <w:bottom w:val="single" w:sz="8" w:space="0" w:color="auto"/>
              <w:right w:val="single" w:sz="8" w:space="0" w:color="auto"/>
            </w:tcBorders>
            <w:shd w:val="clear" w:color="000000" w:fill="D9D9D9"/>
            <w:hideMark/>
          </w:tcPr>
          <w:p w:rsidR="00446CB9" w:rsidRPr="00446CB9" w:rsidRDefault="00446CB9" w:rsidP="00446CB9">
            <w:pPr>
              <w:tabs>
                <w:tab w:val="clear" w:pos="567"/>
              </w:tabs>
              <w:rPr>
                <w:rFonts w:cs="Arial"/>
                <w:b/>
                <w:bCs/>
                <w:color w:val="000000"/>
                <w:sz w:val="20"/>
              </w:rPr>
            </w:pPr>
            <w:r w:rsidRPr="00446CB9">
              <w:rPr>
                <w:rFonts w:cs="Arial"/>
                <w:b/>
                <w:bCs/>
                <w:color w:val="000000"/>
                <w:sz w:val="20"/>
              </w:rPr>
              <w:t>(GST incl)</w:t>
            </w:r>
          </w:p>
        </w:tc>
        <w:tc>
          <w:tcPr>
            <w:tcW w:w="1280" w:type="dxa"/>
            <w:vMerge/>
            <w:tcBorders>
              <w:top w:val="nil"/>
              <w:left w:val="single" w:sz="8" w:space="0" w:color="auto"/>
              <w:bottom w:val="single" w:sz="8" w:space="0" w:color="000000"/>
              <w:right w:val="single" w:sz="8" w:space="0" w:color="auto"/>
            </w:tcBorders>
            <w:vAlign w:val="center"/>
          </w:tcPr>
          <w:p w:rsidR="00446CB9" w:rsidRPr="00446CB9" w:rsidRDefault="00446CB9" w:rsidP="00446CB9">
            <w:pPr>
              <w:tabs>
                <w:tab w:val="clear" w:pos="567"/>
              </w:tabs>
              <w:rPr>
                <w:rFonts w:cs="Arial"/>
                <w:b/>
                <w:bCs/>
                <w:color w:val="000000"/>
                <w:sz w:val="20"/>
              </w:rPr>
            </w:pPr>
          </w:p>
        </w:tc>
        <w:tc>
          <w:tcPr>
            <w:tcW w:w="1280" w:type="dxa"/>
            <w:vMerge/>
            <w:tcBorders>
              <w:top w:val="nil"/>
              <w:left w:val="single" w:sz="8" w:space="0" w:color="auto"/>
              <w:bottom w:val="single" w:sz="8" w:space="0" w:color="000000"/>
              <w:right w:val="single" w:sz="8" w:space="0" w:color="auto"/>
            </w:tcBorders>
            <w:vAlign w:val="center"/>
          </w:tcPr>
          <w:p w:rsidR="00446CB9" w:rsidRPr="00446CB9" w:rsidRDefault="00446CB9" w:rsidP="00446CB9">
            <w:pPr>
              <w:tabs>
                <w:tab w:val="clear" w:pos="567"/>
              </w:tabs>
              <w:rPr>
                <w:rFonts w:cs="Arial"/>
                <w:b/>
                <w:bCs/>
                <w:color w:val="000000"/>
                <w:sz w:val="20"/>
              </w:rPr>
            </w:pPr>
          </w:p>
        </w:tc>
        <w:tc>
          <w:tcPr>
            <w:tcW w:w="1280" w:type="dxa"/>
            <w:vMerge/>
            <w:tcBorders>
              <w:top w:val="nil"/>
              <w:left w:val="single" w:sz="8" w:space="0" w:color="auto"/>
              <w:bottom w:val="single" w:sz="8" w:space="0" w:color="000000"/>
              <w:right w:val="single" w:sz="8" w:space="0" w:color="auto"/>
            </w:tcBorders>
            <w:vAlign w:val="center"/>
          </w:tcPr>
          <w:p w:rsidR="00446CB9" w:rsidRPr="00446CB9" w:rsidRDefault="00446CB9" w:rsidP="00446CB9">
            <w:pPr>
              <w:tabs>
                <w:tab w:val="clear" w:pos="567"/>
              </w:tabs>
              <w:rPr>
                <w:rFonts w:cs="Arial"/>
                <w:b/>
                <w:bCs/>
                <w:color w:val="000000"/>
                <w:sz w:val="20"/>
              </w:rPr>
            </w:pPr>
          </w:p>
        </w:tc>
        <w:tc>
          <w:tcPr>
            <w:tcW w:w="1280" w:type="dxa"/>
            <w:vMerge/>
            <w:tcBorders>
              <w:top w:val="nil"/>
              <w:left w:val="single" w:sz="8" w:space="0" w:color="auto"/>
              <w:bottom w:val="single" w:sz="8" w:space="0" w:color="000000"/>
              <w:right w:val="single" w:sz="8" w:space="0" w:color="auto"/>
            </w:tcBorders>
            <w:vAlign w:val="center"/>
          </w:tcPr>
          <w:p w:rsidR="00446CB9" w:rsidRPr="00446CB9" w:rsidRDefault="00446CB9" w:rsidP="00446CB9">
            <w:pPr>
              <w:tabs>
                <w:tab w:val="clear" w:pos="567"/>
              </w:tabs>
              <w:rPr>
                <w:rFonts w:cs="Arial"/>
                <w:b/>
                <w:bCs/>
                <w:color w:val="000000"/>
                <w:sz w:val="20"/>
              </w:rPr>
            </w:pPr>
          </w:p>
        </w:tc>
        <w:tc>
          <w:tcPr>
            <w:tcW w:w="1280" w:type="dxa"/>
            <w:vMerge/>
            <w:tcBorders>
              <w:top w:val="nil"/>
              <w:left w:val="single" w:sz="8" w:space="0" w:color="auto"/>
              <w:bottom w:val="single" w:sz="8" w:space="0" w:color="000000"/>
              <w:right w:val="single" w:sz="8" w:space="0" w:color="auto"/>
            </w:tcBorders>
            <w:vAlign w:val="center"/>
            <w:hideMark/>
          </w:tcPr>
          <w:p w:rsidR="00446CB9" w:rsidRPr="00446CB9" w:rsidRDefault="00446CB9" w:rsidP="00446CB9">
            <w:pPr>
              <w:tabs>
                <w:tab w:val="clear" w:pos="567"/>
              </w:tabs>
              <w:rPr>
                <w:rFonts w:cs="Arial"/>
                <w:b/>
                <w:bCs/>
                <w:color w:val="000000"/>
                <w:sz w:val="20"/>
              </w:rPr>
            </w:pPr>
          </w:p>
        </w:tc>
      </w:tr>
      <w:tr w:rsidR="00446CB9" w:rsidRPr="00446CB9" w:rsidTr="00446CB9">
        <w:trPr>
          <w:trHeight w:val="285"/>
        </w:trPr>
        <w:tc>
          <w:tcPr>
            <w:tcW w:w="2600" w:type="dxa"/>
            <w:tcBorders>
              <w:top w:val="nil"/>
              <w:left w:val="nil"/>
              <w:bottom w:val="nil"/>
              <w:right w:val="nil"/>
            </w:tcBorders>
            <w:shd w:val="clear" w:color="auto" w:fill="auto"/>
            <w:hideMark/>
          </w:tcPr>
          <w:p w:rsidR="00446CB9" w:rsidRPr="00446CB9" w:rsidRDefault="00446CB9" w:rsidP="00446CB9">
            <w:pPr>
              <w:tabs>
                <w:tab w:val="clear" w:pos="567"/>
              </w:tabs>
              <w:rPr>
                <w:rFonts w:cs="Arial"/>
                <w:b/>
                <w:bCs/>
                <w:color w:val="000000"/>
                <w:sz w:val="20"/>
              </w:rPr>
            </w:pPr>
          </w:p>
        </w:tc>
        <w:tc>
          <w:tcPr>
            <w:tcW w:w="1280" w:type="dxa"/>
            <w:tcBorders>
              <w:top w:val="nil"/>
              <w:left w:val="nil"/>
              <w:bottom w:val="nil"/>
              <w:right w:val="nil"/>
            </w:tcBorders>
            <w:shd w:val="clear" w:color="auto" w:fill="auto"/>
            <w:vAlign w:val="center"/>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vAlign w:val="center"/>
            <w:hideMark/>
          </w:tcPr>
          <w:p w:rsidR="00446CB9" w:rsidRPr="00446CB9" w:rsidRDefault="00446CB9" w:rsidP="00446CB9">
            <w:pPr>
              <w:tabs>
                <w:tab w:val="clear" w:pos="567"/>
              </w:tabs>
              <w:jc w:val="center"/>
              <w:rPr>
                <w:rFonts w:ascii="Times New Roman" w:hAnsi="Times New Roman"/>
                <w:sz w:val="20"/>
              </w:rPr>
            </w:pPr>
          </w:p>
        </w:tc>
        <w:tc>
          <w:tcPr>
            <w:tcW w:w="1280" w:type="dxa"/>
            <w:tcBorders>
              <w:top w:val="nil"/>
              <w:left w:val="nil"/>
              <w:bottom w:val="nil"/>
              <w:right w:val="nil"/>
            </w:tcBorders>
            <w:shd w:val="clear" w:color="auto" w:fill="auto"/>
            <w:vAlign w:val="center"/>
            <w:hideMark/>
          </w:tcPr>
          <w:p w:rsidR="00446CB9" w:rsidRPr="00446CB9" w:rsidRDefault="00446CB9" w:rsidP="00446CB9">
            <w:pPr>
              <w:tabs>
                <w:tab w:val="clear" w:pos="567"/>
              </w:tabs>
              <w:jc w:val="center"/>
              <w:rPr>
                <w:rFonts w:ascii="Times New Roman" w:hAnsi="Times New Roman"/>
                <w:sz w:val="20"/>
              </w:rPr>
            </w:pPr>
          </w:p>
        </w:tc>
        <w:tc>
          <w:tcPr>
            <w:tcW w:w="1280" w:type="dxa"/>
            <w:tcBorders>
              <w:top w:val="nil"/>
              <w:left w:val="nil"/>
              <w:bottom w:val="nil"/>
              <w:right w:val="nil"/>
            </w:tcBorders>
            <w:shd w:val="clear" w:color="auto" w:fill="auto"/>
            <w:vAlign w:val="center"/>
            <w:hideMark/>
          </w:tcPr>
          <w:p w:rsidR="00446CB9" w:rsidRPr="00446CB9" w:rsidRDefault="00446CB9" w:rsidP="00446CB9">
            <w:pPr>
              <w:tabs>
                <w:tab w:val="clear" w:pos="567"/>
              </w:tabs>
              <w:jc w:val="center"/>
              <w:rPr>
                <w:rFonts w:ascii="Times New Roman" w:hAnsi="Times New Roman"/>
                <w:sz w:val="20"/>
              </w:rPr>
            </w:pPr>
          </w:p>
        </w:tc>
        <w:tc>
          <w:tcPr>
            <w:tcW w:w="1280" w:type="dxa"/>
            <w:tcBorders>
              <w:top w:val="nil"/>
              <w:left w:val="nil"/>
              <w:bottom w:val="nil"/>
              <w:right w:val="nil"/>
            </w:tcBorders>
            <w:shd w:val="clear" w:color="auto" w:fill="auto"/>
            <w:vAlign w:val="center"/>
            <w:hideMark/>
          </w:tcPr>
          <w:p w:rsidR="00446CB9" w:rsidRPr="00446CB9" w:rsidRDefault="00446CB9" w:rsidP="00446CB9">
            <w:pPr>
              <w:tabs>
                <w:tab w:val="clear" w:pos="567"/>
              </w:tabs>
              <w:jc w:val="center"/>
              <w:rPr>
                <w:rFonts w:ascii="Times New Roman" w:hAnsi="Times New Roman"/>
                <w:sz w:val="20"/>
              </w:rPr>
            </w:pPr>
          </w:p>
        </w:tc>
      </w:tr>
      <w:tr w:rsidR="00446CB9" w:rsidRPr="00446CB9" w:rsidTr="00446CB9">
        <w:trPr>
          <w:trHeight w:val="315"/>
        </w:trPr>
        <w:tc>
          <w:tcPr>
            <w:tcW w:w="5160" w:type="dxa"/>
            <w:gridSpan w:val="3"/>
            <w:tcBorders>
              <w:top w:val="nil"/>
              <w:left w:val="nil"/>
              <w:bottom w:val="nil"/>
              <w:right w:val="nil"/>
            </w:tcBorders>
            <w:shd w:val="clear" w:color="auto" w:fill="auto"/>
            <w:noWrap/>
            <w:vAlign w:val="bottom"/>
            <w:hideMark/>
          </w:tcPr>
          <w:p w:rsidR="00446CB9" w:rsidRPr="00446CB9" w:rsidRDefault="00776090" w:rsidP="00446CB9">
            <w:pPr>
              <w:tabs>
                <w:tab w:val="clear" w:pos="567"/>
              </w:tabs>
              <w:rPr>
                <w:rFonts w:cs="Arial"/>
                <w:b/>
                <w:bCs/>
                <w:color w:val="000000"/>
                <w:sz w:val="24"/>
                <w:szCs w:val="24"/>
                <w:u w:val="single"/>
              </w:rPr>
            </w:pPr>
            <w:r>
              <w:rPr>
                <w:rFonts w:cs="Arial"/>
                <w:b/>
                <w:bCs/>
                <w:color w:val="000000"/>
                <w:sz w:val="24"/>
                <w:szCs w:val="24"/>
                <w:u w:val="single"/>
              </w:rPr>
              <w:t>Managers</w:t>
            </w:r>
            <w:r w:rsidR="00446CB9" w:rsidRPr="00446CB9">
              <w:rPr>
                <w:rFonts w:cs="Arial"/>
                <w:b/>
                <w:bCs/>
                <w:color w:val="000000"/>
                <w:sz w:val="24"/>
                <w:szCs w:val="24"/>
                <w:u w:val="single"/>
              </w:rPr>
              <w:t xml:space="preserve"> certificate applications </w:t>
            </w:r>
            <w:r>
              <w:rPr>
                <w:rFonts w:cs="Arial"/>
                <w:b/>
                <w:bCs/>
                <w:color w:val="000000"/>
                <w:sz w:val="24"/>
                <w:szCs w:val="24"/>
                <w:u w:val="single"/>
              </w:rPr>
              <w:t>received:</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4"/>
                <w:szCs w:val="24"/>
                <w:u w:val="single"/>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00"/>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525"/>
        </w:trPr>
        <w:tc>
          <w:tcPr>
            <w:tcW w:w="3880" w:type="dxa"/>
            <w:gridSpan w:val="2"/>
            <w:tcBorders>
              <w:top w:val="single" w:sz="8" w:space="0" w:color="auto"/>
              <w:left w:val="single" w:sz="8" w:space="0" w:color="auto"/>
              <w:bottom w:val="single" w:sz="8" w:space="0" w:color="auto"/>
              <w:right w:val="single" w:sz="8" w:space="0" w:color="auto"/>
            </w:tcBorders>
            <w:shd w:val="clear" w:color="auto" w:fill="auto"/>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c>
          <w:tcPr>
            <w:tcW w:w="1280" w:type="dxa"/>
            <w:tcBorders>
              <w:top w:val="single" w:sz="8" w:space="0" w:color="auto"/>
              <w:left w:val="nil"/>
              <w:bottom w:val="single" w:sz="8" w:space="0" w:color="auto"/>
              <w:right w:val="single" w:sz="8" w:space="0" w:color="auto"/>
            </w:tcBorders>
            <w:shd w:val="clear" w:color="auto" w:fill="auto"/>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499"/>
        </w:trPr>
        <w:tc>
          <w:tcPr>
            <w:tcW w:w="38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Manager’s certificate new</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108</w:t>
            </w: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499"/>
        </w:trPr>
        <w:tc>
          <w:tcPr>
            <w:tcW w:w="38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Manager’s certificate renewal</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114</w:t>
            </w: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499"/>
        </w:trPr>
        <w:tc>
          <w:tcPr>
            <w:tcW w:w="38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b/>
                <w:bCs/>
                <w:color w:val="000000"/>
                <w:sz w:val="20"/>
              </w:rPr>
            </w:pPr>
            <w:r w:rsidRPr="00446CB9">
              <w:rPr>
                <w:rFonts w:cs="Arial"/>
                <w:b/>
                <w:bCs/>
                <w:color w:val="000000"/>
                <w:sz w:val="20"/>
              </w:rPr>
              <w:t xml:space="preserve">Total number </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222</w:t>
            </w: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jc w:val="center"/>
              <w:rPr>
                <w:rFonts w:cs="Arial"/>
                <w:b/>
                <w:bCs/>
                <w:color w:val="000000"/>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600"/>
        </w:trPr>
        <w:tc>
          <w:tcPr>
            <w:tcW w:w="3880"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446CB9" w:rsidRPr="00446CB9" w:rsidRDefault="00446CB9" w:rsidP="00446CB9">
            <w:pPr>
              <w:tabs>
                <w:tab w:val="clear" w:pos="567"/>
              </w:tabs>
              <w:rPr>
                <w:rFonts w:cs="Arial"/>
                <w:b/>
                <w:bCs/>
                <w:color w:val="000000"/>
                <w:sz w:val="20"/>
              </w:rPr>
            </w:pPr>
            <w:r w:rsidRPr="00446CB9">
              <w:rPr>
                <w:rFonts w:cs="Arial"/>
                <w:b/>
                <w:bCs/>
                <w:color w:val="000000"/>
                <w:sz w:val="20"/>
              </w:rPr>
              <w:t>Total Fee paid to ARLA (GST incl)</w:t>
            </w:r>
          </w:p>
        </w:tc>
        <w:tc>
          <w:tcPr>
            <w:tcW w:w="1280" w:type="dxa"/>
            <w:tcBorders>
              <w:top w:val="nil"/>
              <w:left w:val="nil"/>
              <w:bottom w:val="single" w:sz="8" w:space="0" w:color="auto"/>
              <w:right w:val="single" w:sz="8" w:space="0" w:color="auto"/>
            </w:tcBorders>
            <w:shd w:val="clear" w:color="000000" w:fill="D9D9D9"/>
            <w:vAlign w:val="center"/>
          </w:tcPr>
          <w:p w:rsidR="00446CB9" w:rsidRPr="00446CB9" w:rsidRDefault="00776090" w:rsidP="00446CB9">
            <w:pPr>
              <w:tabs>
                <w:tab w:val="clear" w:pos="567"/>
              </w:tabs>
              <w:jc w:val="center"/>
              <w:rPr>
                <w:rFonts w:cs="Arial"/>
                <w:b/>
                <w:bCs/>
                <w:color w:val="000000"/>
                <w:sz w:val="20"/>
              </w:rPr>
            </w:pPr>
            <w:r>
              <w:rPr>
                <w:rFonts w:cs="Arial"/>
                <w:b/>
                <w:bCs/>
                <w:color w:val="000000"/>
                <w:sz w:val="20"/>
              </w:rPr>
              <w:t>$6,382.50</w:t>
            </w: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jc w:val="center"/>
              <w:rPr>
                <w:rFonts w:cs="Arial"/>
                <w:b/>
                <w:bCs/>
                <w:color w:val="000000"/>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285"/>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15"/>
        </w:trPr>
        <w:tc>
          <w:tcPr>
            <w:tcW w:w="5160" w:type="dxa"/>
            <w:gridSpan w:val="3"/>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4"/>
                <w:szCs w:val="24"/>
                <w:u w:val="single"/>
              </w:rPr>
            </w:pPr>
            <w:r w:rsidRPr="00446CB9">
              <w:rPr>
                <w:rFonts w:cs="Arial"/>
                <w:b/>
                <w:bCs/>
                <w:color w:val="000000"/>
                <w:sz w:val="24"/>
                <w:szCs w:val="24"/>
                <w:u w:val="single"/>
              </w:rPr>
              <w:t>Special licence applications received:</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4"/>
                <w:szCs w:val="24"/>
                <w:u w:val="single"/>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00"/>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765"/>
        </w:trPr>
        <w:tc>
          <w:tcPr>
            <w:tcW w:w="26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c>
          <w:tcPr>
            <w:tcW w:w="1280" w:type="dxa"/>
            <w:tcBorders>
              <w:top w:val="single" w:sz="8" w:space="0" w:color="auto"/>
              <w:left w:val="nil"/>
              <w:bottom w:val="nil"/>
              <w:right w:val="single" w:sz="8" w:space="0" w:color="auto"/>
            </w:tcBorders>
            <w:shd w:val="clear" w:color="auto" w:fill="auto"/>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category:</w:t>
            </w:r>
          </w:p>
        </w:tc>
        <w:tc>
          <w:tcPr>
            <w:tcW w:w="1280" w:type="dxa"/>
            <w:tcBorders>
              <w:top w:val="single" w:sz="8" w:space="0" w:color="auto"/>
              <w:left w:val="nil"/>
              <w:bottom w:val="nil"/>
              <w:right w:val="single" w:sz="8" w:space="0" w:color="auto"/>
            </w:tcBorders>
            <w:shd w:val="clear" w:color="auto" w:fill="auto"/>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category:</w:t>
            </w:r>
          </w:p>
        </w:tc>
        <w:tc>
          <w:tcPr>
            <w:tcW w:w="1280" w:type="dxa"/>
            <w:tcBorders>
              <w:top w:val="single" w:sz="8" w:space="0" w:color="auto"/>
              <w:left w:val="nil"/>
              <w:bottom w:val="nil"/>
              <w:right w:val="single" w:sz="8" w:space="0" w:color="auto"/>
            </w:tcBorders>
            <w:shd w:val="clear" w:color="auto" w:fill="auto"/>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Number received in category:</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00"/>
        </w:trPr>
        <w:tc>
          <w:tcPr>
            <w:tcW w:w="2600" w:type="dxa"/>
            <w:vMerge/>
            <w:tcBorders>
              <w:top w:val="single" w:sz="8" w:space="0" w:color="auto"/>
              <w:left w:val="single" w:sz="8" w:space="0" w:color="auto"/>
              <w:bottom w:val="single" w:sz="8" w:space="0" w:color="000000"/>
              <w:right w:val="single" w:sz="8" w:space="0" w:color="auto"/>
            </w:tcBorders>
            <w:vAlign w:val="center"/>
            <w:hideMark/>
          </w:tcPr>
          <w:p w:rsidR="00446CB9" w:rsidRPr="00446CB9" w:rsidRDefault="00446CB9" w:rsidP="00446CB9">
            <w:pPr>
              <w:tabs>
                <w:tab w:val="clear" w:pos="567"/>
              </w:tabs>
              <w:rPr>
                <w:rFonts w:cs="Arial"/>
                <w:color w:val="000000"/>
                <w:sz w:val="20"/>
              </w:rPr>
            </w:pPr>
          </w:p>
        </w:tc>
        <w:tc>
          <w:tcPr>
            <w:tcW w:w="1280" w:type="dxa"/>
            <w:tcBorders>
              <w:top w:val="nil"/>
              <w:left w:val="nil"/>
              <w:bottom w:val="single" w:sz="8" w:space="0" w:color="auto"/>
              <w:right w:val="single" w:sz="8" w:space="0" w:color="auto"/>
            </w:tcBorders>
            <w:shd w:val="clear" w:color="auto" w:fill="auto"/>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Class 1</w:t>
            </w:r>
          </w:p>
        </w:tc>
        <w:tc>
          <w:tcPr>
            <w:tcW w:w="1280" w:type="dxa"/>
            <w:tcBorders>
              <w:top w:val="nil"/>
              <w:left w:val="nil"/>
              <w:bottom w:val="single" w:sz="8" w:space="0" w:color="auto"/>
              <w:right w:val="single" w:sz="8" w:space="0" w:color="auto"/>
            </w:tcBorders>
            <w:shd w:val="clear" w:color="auto" w:fill="auto"/>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Class 2</w:t>
            </w:r>
          </w:p>
        </w:tc>
        <w:tc>
          <w:tcPr>
            <w:tcW w:w="1280" w:type="dxa"/>
            <w:tcBorders>
              <w:top w:val="nil"/>
              <w:left w:val="nil"/>
              <w:bottom w:val="single" w:sz="8" w:space="0" w:color="auto"/>
              <w:right w:val="single" w:sz="8" w:space="0" w:color="auto"/>
            </w:tcBorders>
            <w:shd w:val="clear" w:color="auto" w:fill="auto"/>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Class 3</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499"/>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Special licence</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5</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39</w:t>
            </w:r>
          </w:p>
        </w:tc>
        <w:tc>
          <w:tcPr>
            <w:tcW w:w="1280" w:type="dxa"/>
            <w:tcBorders>
              <w:top w:val="nil"/>
              <w:left w:val="nil"/>
              <w:bottom w:val="single" w:sz="8" w:space="0" w:color="auto"/>
              <w:right w:val="single" w:sz="8" w:space="0" w:color="auto"/>
            </w:tcBorders>
            <w:shd w:val="clear" w:color="auto" w:fill="auto"/>
            <w:vAlign w:val="center"/>
          </w:tcPr>
          <w:p w:rsidR="00446CB9" w:rsidRPr="00446CB9" w:rsidRDefault="00776090" w:rsidP="00446CB9">
            <w:pPr>
              <w:tabs>
                <w:tab w:val="clear" w:pos="567"/>
              </w:tabs>
              <w:jc w:val="center"/>
              <w:rPr>
                <w:rFonts w:cs="Arial"/>
                <w:color w:val="000000"/>
                <w:sz w:val="20"/>
              </w:rPr>
            </w:pPr>
            <w:r>
              <w:rPr>
                <w:rFonts w:cs="Arial"/>
                <w:color w:val="000000"/>
                <w:sz w:val="20"/>
              </w:rPr>
              <w:t>92</w:t>
            </w: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285"/>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15"/>
        </w:trPr>
        <w:tc>
          <w:tcPr>
            <w:tcW w:w="5160" w:type="dxa"/>
            <w:gridSpan w:val="3"/>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4"/>
                <w:szCs w:val="24"/>
                <w:u w:val="single"/>
              </w:rPr>
            </w:pPr>
            <w:r w:rsidRPr="00446CB9">
              <w:rPr>
                <w:rFonts w:cs="Arial"/>
                <w:b/>
                <w:bCs/>
                <w:color w:val="000000"/>
                <w:sz w:val="24"/>
                <w:szCs w:val="24"/>
                <w:u w:val="single"/>
              </w:rPr>
              <w:t>Temporary authority applications received:</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4"/>
                <w:szCs w:val="24"/>
                <w:u w:val="single"/>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00"/>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525"/>
        </w:trPr>
        <w:tc>
          <w:tcPr>
            <w:tcW w:w="38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46CB9" w:rsidRPr="00446CB9" w:rsidRDefault="00446CB9" w:rsidP="00446CB9">
            <w:pPr>
              <w:tabs>
                <w:tab w:val="clear" w:pos="567"/>
              </w:tabs>
              <w:rPr>
                <w:rFonts w:cs="Arial"/>
                <w:color w:val="000000"/>
                <w:sz w:val="20"/>
              </w:rPr>
            </w:pPr>
            <w:r w:rsidRPr="00446CB9">
              <w:rPr>
                <w:rFonts w:cs="Arial"/>
                <w:color w:val="000000"/>
                <w:sz w:val="20"/>
              </w:rPr>
              <w:t> </w:t>
            </w:r>
          </w:p>
        </w:tc>
        <w:tc>
          <w:tcPr>
            <w:tcW w:w="1280" w:type="dxa"/>
            <w:tcBorders>
              <w:top w:val="single" w:sz="8" w:space="0" w:color="auto"/>
              <w:left w:val="nil"/>
              <w:bottom w:val="single" w:sz="8" w:space="0" w:color="auto"/>
              <w:right w:val="single" w:sz="8" w:space="0" w:color="auto"/>
            </w:tcBorders>
            <w:shd w:val="clear" w:color="auto" w:fill="auto"/>
            <w:hideMark/>
          </w:tcPr>
          <w:p w:rsidR="00446CB9" w:rsidRPr="00446CB9" w:rsidRDefault="00446CB9" w:rsidP="00446CB9">
            <w:pPr>
              <w:tabs>
                <w:tab w:val="clear" w:pos="567"/>
              </w:tabs>
              <w:rPr>
                <w:rFonts w:cs="Arial"/>
                <w:color w:val="000000"/>
                <w:sz w:val="20"/>
              </w:rPr>
            </w:pPr>
            <w:r w:rsidRPr="00446CB9">
              <w:rPr>
                <w:rFonts w:cs="Arial"/>
                <w:color w:val="000000"/>
                <w:sz w:val="20"/>
              </w:rPr>
              <w:t>Number received</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color w:val="000000"/>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499"/>
        </w:trPr>
        <w:tc>
          <w:tcPr>
            <w:tcW w:w="38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Temporary authority</w:t>
            </w: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776090" w:rsidP="00446CB9">
            <w:pPr>
              <w:tabs>
                <w:tab w:val="clear" w:pos="567"/>
              </w:tabs>
              <w:jc w:val="center"/>
              <w:rPr>
                <w:rFonts w:cs="Arial"/>
                <w:color w:val="000000"/>
                <w:sz w:val="20"/>
              </w:rPr>
            </w:pPr>
            <w:r>
              <w:rPr>
                <w:rFonts w:cs="Arial"/>
                <w:color w:val="000000"/>
                <w:sz w:val="20"/>
              </w:rPr>
              <w:t>19</w:t>
            </w: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285"/>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15"/>
        </w:trPr>
        <w:tc>
          <w:tcPr>
            <w:tcW w:w="5160" w:type="dxa"/>
            <w:gridSpan w:val="3"/>
            <w:tcBorders>
              <w:top w:val="nil"/>
              <w:left w:val="nil"/>
              <w:bottom w:val="nil"/>
              <w:right w:val="nil"/>
            </w:tcBorders>
            <w:shd w:val="clear" w:color="auto" w:fill="auto"/>
            <w:noWrap/>
            <w:vAlign w:val="bottom"/>
            <w:hideMark/>
          </w:tcPr>
          <w:p w:rsidR="00446CB9" w:rsidRPr="00446CB9" w:rsidRDefault="00776090" w:rsidP="00446CB9">
            <w:pPr>
              <w:tabs>
                <w:tab w:val="clear" w:pos="567"/>
              </w:tabs>
              <w:rPr>
                <w:rFonts w:cs="Arial"/>
                <w:b/>
                <w:bCs/>
                <w:color w:val="000000"/>
                <w:sz w:val="24"/>
                <w:szCs w:val="24"/>
                <w:u w:val="single"/>
              </w:rPr>
            </w:pPr>
            <w:r>
              <w:rPr>
                <w:rFonts w:cs="Arial"/>
                <w:b/>
                <w:bCs/>
                <w:color w:val="000000"/>
                <w:sz w:val="24"/>
                <w:szCs w:val="24"/>
                <w:u w:val="single"/>
              </w:rPr>
              <w:t xml:space="preserve">Permanent club charter payments </w:t>
            </w:r>
            <w:r w:rsidR="00446CB9" w:rsidRPr="00446CB9">
              <w:rPr>
                <w:rFonts w:cs="Arial"/>
                <w:b/>
                <w:bCs/>
                <w:color w:val="000000"/>
                <w:sz w:val="24"/>
                <w:szCs w:val="24"/>
                <w:u w:val="single"/>
              </w:rPr>
              <w:t>received:</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4"/>
                <w:szCs w:val="24"/>
                <w:u w:val="single"/>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00"/>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525"/>
        </w:trPr>
        <w:tc>
          <w:tcPr>
            <w:tcW w:w="38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 </w:t>
            </w:r>
          </w:p>
        </w:tc>
        <w:tc>
          <w:tcPr>
            <w:tcW w:w="1280" w:type="dxa"/>
            <w:tcBorders>
              <w:top w:val="single" w:sz="8" w:space="0" w:color="auto"/>
              <w:left w:val="nil"/>
              <w:bottom w:val="single" w:sz="8" w:space="0" w:color="auto"/>
              <w:right w:val="single" w:sz="8" w:space="0" w:color="auto"/>
            </w:tcBorders>
            <w:shd w:val="clear" w:color="auto" w:fill="auto"/>
            <w:hideMark/>
          </w:tcPr>
          <w:p w:rsidR="00446CB9" w:rsidRPr="00446CB9" w:rsidRDefault="00446CB9" w:rsidP="00446CB9">
            <w:pPr>
              <w:tabs>
                <w:tab w:val="clear" w:pos="567"/>
              </w:tabs>
              <w:rPr>
                <w:rFonts w:cs="Arial"/>
                <w:color w:val="000000"/>
                <w:sz w:val="20"/>
              </w:rPr>
            </w:pPr>
            <w:r w:rsidRPr="00446CB9">
              <w:rPr>
                <w:rFonts w:cs="Arial"/>
                <w:color w:val="000000"/>
                <w:sz w:val="20"/>
              </w:rPr>
              <w:t>Number received</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color w:val="000000"/>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499"/>
        </w:trPr>
        <w:tc>
          <w:tcPr>
            <w:tcW w:w="38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rPr>
                <w:rFonts w:cs="Arial"/>
                <w:color w:val="000000"/>
                <w:sz w:val="20"/>
              </w:rPr>
            </w:pPr>
            <w:r w:rsidRPr="00446CB9">
              <w:rPr>
                <w:rFonts w:cs="Arial"/>
                <w:color w:val="000000"/>
                <w:sz w:val="20"/>
              </w:rPr>
              <w:t>Permanent club charter payments</w:t>
            </w:r>
          </w:p>
        </w:tc>
        <w:tc>
          <w:tcPr>
            <w:tcW w:w="1280" w:type="dxa"/>
            <w:tcBorders>
              <w:top w:val="nil"/>
              <w:left w:val="nil"/>
              <w:bottom w:val="single" w:sz="8" w:space="0" w:color="auto"/>
              <w:right w:val="single" w:sz="8" w:space="0" w:color="auto"/>
            </w:tcBorders>
            <w:shd w:val="clear" w:color="auto" w:fill="auto"/>
            <w:vAlign w:val="center"/>
            <w:hideMark/>
          </w:tcPr>
          <w:p w:rsidR="00446CB9" w:rsidRPr="00446CB9" w:rsidRDefault="00446CB9" w:rsidP="00446CB9">
            <w:pPr>
              <w:tabs>
                <w:tab w:val="clear" w:pos="567"/>
              </w:tabs>
              <w:jc w:val="center"/>
              <w:rPr>
                <w:rFonts w:cs="Arial"/>
                <w:color w:val="000000"/>
                <w:sz w:val="20"/>
              </w:rPr>
            </w:pPr>
            <w:r w:rsidRPr="00446CB9">
              <w:rPr>
                <w:rFonts w:cs="Arial"/>
                <w:color w:val="000000"/>
                <w:sz w:val="20"/>
              </w:rPr>
              <w:t>0</w:t>
            </w: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jc w:val="center"/>
              <w:rPr>
                <w:rFonts w:cs="Arial"/>
                <w:color w:val="000000"/>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center"/>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285"/>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300"/>
        </w:trPr>
        <w:tc>
          <w:tcPr>
            <w:tcW w:w="260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r w:rsidR="00446CB9" w:rsidRPr="00446CB9" w:rsidTr="00446CB9">
        <w:trPr>
          <w:trHeight w:val="600"/>
        </w:trPr>
        <w:tc>
          <w:tcPr>
            <w:tcW w:w="38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446CB9" w:rsidRDefault="00776090" w:rsidP="00446CB9">
            <w:pPr>
              <w:tabs>
                <w:tab w:val="clear" w:pos="567"/>
              </w:tabs>
              <w:rPr>
                <w:rFonts w:cs="Arial"/>
                <w:b/>
                <w:bCs/>
                <w:color w:val="000000"/>
                <w:sz w:val="20"/>
              </w:rPr>
            </w:pPr>
            <w:r>
              <w:rPr>
                <w:rFonts w:cs="Arial"/>
                <w:b/>
                <w:bCs/>
                <w:color w:val="000000"/>
                <w:sz w:val="20"/>
              </w:rPr>
              <w:t>Total fees paid to ARLA 2018</w:t>
            </w:r>
            <w:r w:rsidR="00446CB9" w:rsidRPr="00446CB9">
              <w:rPr>
                <w:rFonts w:cs="Arial"/>
                <w:b/>
                <w:bCs/>
                <w:color w:val="000000"/>
                <w:sz w:val="20"/>
              </w:rPr>
              <w:t>-201</w:t>
            </w:r>
            <w:r>
              <w:rPr>
                <w:rFonts w:cs="Arial"/>
                <w:b/>
                <w:bCs/>
                <w:color w:val="000000"/>
                <w:sz w:val="20"/>
              </w:rPr>
              <w:t>9</w:t>
            </w:r>
          </w:p>
          <w:p w:rsidR="0006539C" w:rsidRPr="00446CB9" w:rsidRDefault="0006539C" w:rsidP="00446CB9">
            <w:pPr>
              <w:tabs>
                <w:tab w:val="clear" w:pos="567"/>
              </w:tabs>
              <w:rPr>
                <w:rFonts w:cs="Arial"/>
                <w:b/>
                <w:bCs/>
                <w:color w:val="000000"/>
                <w:sz w:val="20"/>
              </w:rPr>
            </w:pPr>
            <w:r>
              <w:rPr>
                <w:rFonts w:cs="Arial"/>
                <w:b/>
                <w:bCs/>
                <w:color w:val="000000"/>
                <w:sz w:val="20"/>
              </w:rPr>
              <w:t>(GST incl)</w:t>
            </w:r>
          </w:p>
        </w:tc>
        <w:tc>
          <w:tcPr>
            <w:tcW w:w="2560" w:type="dxa"/>
            <w:gridSpan w:val="2"/>
            <w:tcBorders>
              <w:top w:val="single" w:sz="8" w:space="0" w:color="auto"/>
              <w:left w:val="nil"/>
              <w:bottom w:val="single" w:sz="8" w:space="0" w:color="auto"/>
              <w:right w:val="single" w:sz="8" w:space="0" w:color="000000"/>
            </w:tcBorders>
            <w:shd w:val="clear" w:color="000000" w:fill="D9D9D9"/>
            <w:vAlign w:val="center"/>
            <w:hideMark/>
          </w:tcPr>
          <w:p w:rsidR="00446CB9" w:rsidRPr="00446CB9" w:rsidRDefault="00446CB9" w:rsidP="00446CB9">
            <w:pPr>
              <w:tabs>
                <w:tab w:val="clear" w:pos="567"/>
              </w:tabs>
              <w:rPr>
                <w:rFonts w:cs="Arial"/>
                <w:b/>
                <w:bCs/>
                <w:color w:val="000000"/>
                <w:sz w:val="20"/>
              </w:rPr>
            </w:pPr>
            <w:r w:rsidRPr="00446CB9">
              <w:rPr>
                <w:rFonts w:cs="Arial"/>
                <w:b/>
                <w:bCs/>
                <w:color w:val="000000"/>
                <w:sz w:val="20"/>
              </w:rPr>
              <w:t xml:space="preserve"> $   </w:t>
            </w:r>
            <w:r w:rsidR="0084054A">
              <w:rPr>
                <w:rFonts w:cs="Arial"/>
                <w:b/>
                <w:bCs/>
                <w:color w:val="000000"/>
                <w:sz w:val="20"/>
              </w:rPr>
              <w:t>13,920.75</w:t>
            </w:r>
            <w:r w:rsidR="0006539C">
              <w:rPr>
                <w:rFonts w:cs="Arial"/>
                <w:b/>
                <w:bCs/>
                <w:color w:val="000000"/>
                <w:sz w:val="20"/>
              </w:rPr>
              <w:t xml:space="preserve"> </w:t>
            </w:r>
            <w:r w:rsidRPr="00446CB9">
              <w:rPr>
                <w:rFonts w:cs="Arial"/>
                <w:b/>
                <w:bCs/>
                <w:color w:val="000000"/>
                <w:sz w:val="20"/>
              </w:rPr>
              <w:t xml:space="preserve">                   </w:t>
            </w: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cs="Arial"/>
                <w:b/>
                <w:bCs/>
                <w:color w:val="000000"/>
                <w:sz w:val="20"/>
              </w:rPr>
            </w:pPr>
          </w:p>
        </w:tc>
        <w:tc>
          <w:tcPr>
            <w:tcW w:w="1280" w:type="dxa"/>
            <w:tcBorders>
              <w:top w:val="nil"/>
              <w:left w:val="nil"/>
              <w:bottom w:val="nil"/>
              <w:right w:val="nil"/>
            </w:tcBorders>
            <w:shd w:val="clear" w:color="auto" w:fill="auto"/>
            <w:noWrap/>
            <w:vAlign w:val="bottom"/>
            <w:hideMark/>
          </w:tcPr>
          <w:p w:rsidR="00446CB9" w:rsidRPr="00446CB9" w:rsidRDefault="00446CB9" w:rsidP="00446CB9">
            <w:pPr>
              <w:tabs>
                <w:tab w:val="clear" w:pos="567"/>
              </w:tabs>
              <w:rPr>
                <w:rFonts w:ascii="Times New Roman" w:hAnsi="Times New Roman"/>
                <w:sz w:val="20"/>
              </w:rPr>
            </w:pPr>
          </w:p>
        </w:tc>
      </w:tr>
    </w:tbl>
    <w:p w:rsidR="00FD1062" w:rsidRDefault="00FD1062" w:rsidP="00853076">
      <w:pPr>
        <w:ind w:left="360" w:hanging="360"/>
        <w:jc w:val="both"/>
        <w:rPr>
          <w:b/>
          <w:sz w:val="28"/>
          <w:szCs w:val="28"/>
        </w:rPr>
      </w:pPr>
    </w:p>
    <w:p w:rsidR="00FD1062" w:rsidRDefault="00FD1062" w:rsidP="00853076">
      <w:pPr>
        <w:ind w:left="360" w:hanging="360"/>
        <w:jc w:val="both"/>
        <w:rPr>
          <w:b/>
          <w:sz w:val="28"/>
          <w:szCs w:val="28"/>
        </w:rPr>
      </w:pPr>
    </w:p>
    <w:p w:rsidR="00FD1062" w:rsidRDefault="00FD1062" w:rsidP="00853076">
      <w:pPr>
        <w:ind w:left="360" w:hanging="360"/>
        <w:jc w:val="both"/>
        <w:rPr>
          <w:b/>
          <w:sz w:val="28"/>
          <w:szCs w:val="28"/>
        </w:rPr>
      </w:pPr>
    </w:p>
    <w:p w:rsidR="0084054A" w:rsidRDefault="0084054A" w:rsidP="00853076">
      <w:pPr>
        <w:ind w:left="360" w:hanging="360"/>
        <w:jc w:val="both"/>
        <w:rPr>
          <w:b/>
          <w:sz w:val="28"/>
          <w:szCs w:val="28"/>
        </w:rPr>
      </w:pPr>
    </w:p>
    <w:p w:rsidR="00853076" w:rsidRDefault="00853076" w:rsidP="00853076">
      <w:pPr>
        <w:ind w:left="360" w:hanging="360"/>
        <w:jc w:val="both"/>
        <w:rPr>
          <w:b/>
          <w:sz w:val="28"/>
          <w:szCs w:val="28"/>
        </w:rPr>
      </w:pPr>
      <w:r>
        <w:rPr>
          <w:b/>
          <w:sz w:val="28"/>
          <w:szCs w:val="28"/>
        </w:rPr>
        <w:lastRenderedPageBreak/>
        <w:t>Appendix Two</w:t>
      </w:r>
    </w:p>
    <w:p w:rsidR="00853076" w:rsidRDefault="00853076" w:rsidP="00853076">
      <w:pPr>
        <w:ind w:left="360" w:hanging="360"/>
        <w:jc w:val="both"/>
        <w:rPr>
          <w:b/>
          <w:sz w:val="28"/>
          <w:szCs w:val="28"/>
        </w:rPr>
      </w:pPr>
    </w:p>
    <w:p w:rsidR="00853076" w:rsidRDefault="00853076" w:rsidP="00853076">
      <w:pPr>
        <w:ind w:left="360" w:hanging="360"/>
        <w:jc w:val="center"/>
        <w:rPr>
          <w:b/>
          <w:sz w:val="28"/>
          <w:szCs w:val="28"/>
        </w:rPr>
      </w:pPr>
      <w:r>
        <w:rPr>
          <w:b/>
          <w:sz w:val="28"/>
          <w:szCs w:val="28"/>
        </w:rPr>
        <w:t>Regulation 19 Report 2018/19</w:t>
      </w:r>
    </w:p>
    <w:p w:rsidR="00853076" w:rsidRDefault="00853076" w:rsidP="00853076">
      <w:pPr>
        <w:ind w:left="360" w:hanging="360"/>
        <w:jc w:val="center"/>
        <w:rPr>
          <w:b/>
          <w:sz w:val="28"/>
          <w:szCs w:val="28"/>
        </w:rPr>
      </w:pPr>
    </w:p>
    <w:p w:rsidR="00853076" w:rsidRDefault="00853076" w:rsidP="00853076">
      <w:pPr>
        <w:pStyle w:val="BodyText"/>
        <w:ind w:left="432"/>
        <w:rPr>
          <w:lang w:val="en-NZ"/>
        </w:rPr>
      </w:pPr>
      <w:r>
        <w:rPr>
          <w:lang w:val="en-NZ"/>
        </w:rPr>
        <w:t>Total revenue from fees:</w:t>
      </w:r>
    </w:p>
    <w:tbl>
      <w:tblPr>
        <w:tblStyle w:val="TableGrid"/>
        <w:tblW w:w="0" w:type="auto"/>
        <w:tblInd w:w="720" w:type="dxa"/>
        <w:tblLook w:val="04A0" w:firstRow="1" w:lastRow="0" w:firstColumn="1" w:lastColumn="0" w:noHBand="0" w:noVBand="1"/>
      </w:tblPr>
      <w:tblGrid>
        <w:gridCol w:w="4378"/>
        <w:gridCol w:w="3205"/>
      </w:tblGrid>
      <w:tr w:rsidR="00853076" w:rsidTr="00FD1062">
        <w:tc>
          <w:tcPr>
            <w:tcW w:w="4378" w:type="dxa"/>
          </w:tcPr>
          <w:p w:rsidR="00853076" w:rsidRPr="00C00716" w:rsidRDefault="00853076" w:rsidP="00FD1062">
            <w:pPr>
              <w:pStyle w:val="BodyText"/>
              <w:ind w:left="0"/>
              <w:rPr>
                <w:b/>
                <w:lang w:val="en-NZ"/>
              </w:rPr>
            </w:pPr>
            <w:r w:rsidRPr="00C00716">
              <w:rPr>
                <w:b/>
                <w:lang w:val="en-NZ"/>
              </w:rPr>
              <w:t>Fee type</w:t>
            </w:r>
          </w:p>
        </w:tc>
        <w:tc>
          <w:tcPr>
            <w:tcW w:w="3205" w:type="dxa"/>
          </w:tcPr>
          <w:p w:rsidR="00853076" w:rsidRPr="00C00716" w:rsidRDefault="00853076" w:rsidP="00FD1062">
            <w:pPr>
              <w:pStyle w:val="BodyText"/>
              <w:ind w:left="0"/>
              <w:rPr>
                <w:b/>
                <w:lang w:val="en-NZ"/>
              </w:rPr>
            </w:pPr>
            <w:r w:rsidRPr="00C00716">
              <w:rPr>
                <w:b/>
                <w:lang w:val="en-NZ"/>
              </w:rPr>
              <w:t>Revenue (</w:t>
            </w:r>
            <w:r w:rsidRPr="00ED2A61">
              <w:rPr>
                <w:b/>
                <w:u w:val="single"/>
                <w:lang w:val="en-NZ"/>
              </w:rPr>
              <w:t>GST inclusive</w:t>
            </w:r>
            <w:r w:rsidRPr="00C00716">
              <w:rPr>
                <w:b/>
                <w:lang w:val="en-NZ"/>
              </w:rPr>
              <w:t>)</w:t>
            </w:r>
          </w:p>
        </w:tc>
      </w:tr>
      <w:tr w:rsidR="00853076" w:rsidTr="00FD1062">
        <w:tc>
          <w:tcPr>
            <w:tcW w:w="4378" w:type="dxa"/>
          </w:tcPr>
          <w:p w:rsidR="00853076" w:rsidRDefault="00853076" w:rsidP="00FD1062">
            <w:pPr>
              <w:pStyle w:val="BodyText"/>
              <w:ind w:left="0"/>
              <w:rPr>
                <w:lang w:val="en-NZ"/>
              </w:rPr>
            </w:pPr>
            <w:r>
              <w:rPr>
                <w:lang w:val="en-NZ"/>
              </w:rPr>
              <w:t>On licence &amp; Club licence application fees</w:t>
            </w:r>
          </w:p>
        </w:tc>
        <w:tc>
          <w:tcPr>
            <w:tcW w:w="3205" w:type="dxa"/>
          </w:tcPr>
          <w:p w:rsidR="00853076" w:rsidRPr="00C00716" w:rsidRDefault="00853076" w:rsidP="00FD1062">
            <w:r w:rsidRPr="00C00716">
              <w:t>$29,037.50</w:t>
            </w:r>
          </w:p>
        </w:tc>
      </w:tr>
      <w:tr w:rsidR="00853076" w:rsidTr="00FD1062">
        <w:tc>
          <w:tcPr>
            <w:tcW w:w="4378" w:type="dxa"/>
          </w:tcPr>
          <w:p w:rsidR="00853076" w:rsidRDefault="00853076" w:rsidP="00FD1062">
            <w:pPr>
              <w:pStyle w:val="BodyText"/>
              <w:ind w:left="0"/>
              <w:rPr>
                <w:lang w:val="en-NZ"/>
              </w:rPr>
            </w:pPr>
            <w:r>
              <w:rPr>
                <w:lang w:val="en-NZ"/>
              </w:rPr>
              <w:t>Off licence application fees</w:t>
            </w:r>
          </w:p>
        </w:tc>
        <w:tc>
          <w:tcPr>
            <w:tcW w:w="3205" w:type="dxa"/>
          </w:tcPr>
          <w:p w:rsidR="00853076" w:rsidRPr="00C00716" w:rsidRDefault="00853076" w:rsidP="00FD1062">
            <w:r w:rsidRPr="00C00716">
              <w:t>$21,551.00</w:t>
            </w:r>
          </w:p>
        </w:tc>
      </w:tr>
      <w:tr w:rsidR="00853076" w:rsidTr="00FD1062">
        <w:tc>
          <w:tcPr>
            <w:tcW w:w="4378" w:type="dxa"/>
          </w:tcPr>
          <w:p w:rsidR="00853076" w:rsidRDefault="00853076" w:rsidP="00FD1062">
            <w:pPr>
              <w:pStyle w:val="BodyText"/>
              <w:ind w:left="0"/>
              <w:rPr>
                <w:lang w:val="en-NZ"/>
              </w:rPr>
            </w:pPr>
            <w:r>
              <w:rPr>
                <w:lang w:val="en-NZ"/>
              </w:rPr>
              <w:t>On licence and Club licence annual fees</w:t>
            </w:r>
          </w:p>
        </w:tc>
        <w:tc>
          <w:tcPr>
            <w:tcW w:w="3205" w:type="dxa"/>
          </w:tcPr>
          <w:p w:rsidR="00853076" w:rsidRPr="00C00716" w:rsidRDefault="00853076" w:rsidP="00FD1062">
            <w:r w:rsidRPr="00C00716">
              <w:t>$32,338.00</w:t>
            </w:r>
          </w:p>
        </w:tc>
      </w:tr>
      <w:tr w:rsidR="00853076" w:rsidTr="00FD1062">
        <w:tc>
          <w:tcPr>
            <w:tcW w:w="4378" w:type="dxa"/>
          </w:tcPr>
          <w:p w:rsidR="00853076" w:rsidRDefault="00853076" w:rsidP="00FD1062">
            <w:pPr>
              <w:pStyle w:val="BodyText"/>
              <w:ind w:left="0"/>
              <w:rPr>
                <w:lang w:val="en-NZ"/>
              </w:rPr>
            </w:pPr>
            <w:r>
              <w:rPr>
                <w:lang w:val="en-NZ"/>
              </w:rPr>
              <w:t>Off licence annual fees</w:t>
            </w:r>
          </w:p>
        </w:tc>
        <w:tc>
          <w:tcPr>
            <w:tcW w:w="3205" w:type="dxa"/>
          </w:tcPr>
          <w:p w:rsidR="00853076" w:rsidRPr="00C00716" w:rsidRDefault="00853076" w:rsidP="00FD1062">
            <w:r w:rsidRPr="00C00716">
              <w:t>$19,607.50</w:t>
            </w:r>
          </w:p>
        </w:tc>
      </w:tr>
      <w:tr w:rsidR="00853076" w:rsidTr="00FD1062">
        <w:tc>
          <w:tcPr>
            <w:tcW w:w="4378" w:type="dxa"/>
          </w:tcPr>
          <w:p w:rsidR="00853076" w:rsidRPr="00C00716" w:rsidRDefault="00853076" w:rsidP="00FD1062">
            <w:pPr>
              <w:pStyle w:val="BodyText"/>
              <w:ind w:left="0"/>
              <w:rPr>
                <w:b/>
                <w:lang w:val="en-NZ"/>
              </w:rPr>
            </w:pPr>
            <w:r w:rsidRPr="00C00716">
              <w:rPr>
                <w:b/>
                <w:lang w:val="en-NZ"/>
              </w:rPr>
              <w:t>Other licence types</w:t>
            </w:r>
          </w:p>
        </w:tc>
        <w:tc>
          <w:tcPr>
            <w:tcW w:w="3205" w:type="dxa"/>
          </w:tcPr>
          <w:p w:rsidR="00853076" w:rsidRPr="00C00716" w:rsidRDefault="00853076" w:rsidP="00FD1062">
            <w:pPr>
              <w:pStyle w:val="BodyText"/>
              <w:ind w:left="0"/>
              <w:rPr>
                <w:lang w:val="en-NZ"/>
              </w:rPr>
            </w:pPr>
          </w:p>
        </w:tc>
      </w:tr>
      <w:tr w:rsidR="00853076" w:rsidTr="00FD1062">
        <w:tc>
          <w:tcPr>
            <w:tcW w:w="4378" w:type="dxa"/>
          </w:tcPr>
          <w:p w:rsidR="00853076" w:rsidRDefault="00853076" w:rsidP="00FD1062">
            <w:pPr>
              <w:pStyle w:val="BodyText"/>
              <w:ind w:left="0"/>
              <w:rPr>
                <w:lang w:val="en-NZ"/>
              </w:rPr>
            </w:pPr>
            <w:r>
              <w:rPr>
                <w:lang w:val="en-NZ"/>
              </w:rPr>
              <w:t>Special licences</w:t>
            </w:r>
          </w:p>
        </w:tc>
        <w:tc>
          <w:tcPr>
            <w:tcW w:w="3205" w:type="dxa"/>
          </w:tcPr>
          <w:p w:rsidR="00853076" w:rsidRPr="00C00716" w:rsidRDefault="00853076" w:rsidP="00FD1062">
            <w:r w:rsidRPr="00C00716">
              <w:t>$16,767.50</w:t>
            </w:r>
          </w:p>
        </w:tc>
      </w:tr>
      <w:tr w:rsidR="00853076" w:rsidTr="00FD1062">
        <w:tc>
          <w:tcPr>
            <w:tcW w:w="4378" w:type="dxa"/>
          </w:tcPr>
          <w:p w:rsidR="00853076" w:rsidRDefault="00853076" w:rsidP="00FD1062">
            <w:pPr>
              <w:pStyle w:val="BodyText"/>
              <w:ind w:left="0"/>
              <w:rPr>
                <w:lang w:val="en-NZ"/>
              </w:rPr>
            </w:pPr>
            <w:r>
              <w:rPr>
                <w:lang w:val="en-NZ"/>
              </w:rPr>
              <w:t>Managers Certificates</w:t>
            </w:r>
          </w:p>
        </w:tc>
        <w:tc>
          <w:tcPr>
            <w:tcW w:w="3205" w:type="dxa"/>
          </w:tcPr>
          <w:p w:rsidR="00853076" w:rsidRPr="00C00716" w:rsidRDefault="00853076" w:rsidP="00FD1062">
            <w:r w:rsidRPr="00C00716">
              <w:t>$70,207.50</w:t>
            </w:r>
          </w:p>
        </w:tc>
      </w:tr>
      <w:tr w:rsidR="00853076" w:rsidTr="00FD1062">
        <w:tc>
          <w:tcPr>
            <w:tcW w:w="4378" w:type="dxa"/>
          </w:tcPr>
          <w:p w:rsidR="00853076" w:rsidRDefault="00853076" w:rsidP="00FD1062">
            <w:pPr>
              <w:pStyle w:val="BodyText"/>
              <w:ind w:left="0"/>
              <w:rPr>
                <w:lang w:val="en-NZ"/>
              </w:rPr>
            </w:pPr>
            <w:r>
              <w:rPr>
                <w:lang w:val="en-NZ"/>
              </w:rPr>
              <w:t>Other (Temporary Authorities)</w:t>
            </w:r>
          </w:p>
        </w:tc>
        <w:tc>
          <w:tcPr>
            <w:tcW w:w="3205" w:type="dxa"/>
          </w:tcPr>
          <w:p w:rsidR="00853076" w:rsidRPr="00C00716" w:rsidRDefault="00853076" w:rsidP="00FD1062">
            <w:r w:rsidRPr="00C00716">
              <w:t>$5,637.30</w:t>
            </w:r>
          </w:p>
        </w:tc>
      </w:tr>
      <w:tr w:rsidR="00853076" w:rsidTr="00FD1062">
        <w:tc>
          <w:tcPr>
            <w:tcW w:w="4378" w:type="dxa"/>
          </w:tcPr>
          <w:p w:rsidR="00853076" w:rsidRPr="00C00716" w:rsidRDefault="00853076" w:rsidP="00FD1062">
            <w:pPr>
              <w:pStyle w:val="BodyText"/>
              <w:ind w:left="0"/>
              <w:rPr>
                <w:b/>
                <w:lang w:val="en-NZ"/>
              </w:rPr>
            </w:pPr>
            <w:r w:rsidRPr="00C00716">
              <w:rPr>
                <w:b/>
                <w:lang w:val="en-NZ"/>
              </w:rPr>
              <w:t>Total</w:t>
            </w:r>
          </w:p>
        </w:tc>
        <w:tc>
          <w:tcPr>
            <w:tcW w:w="3205" w:type="dxa"/>
          </w:tcPr>
          <w:p w:rsidR="00853076" w:rsidRDefault="00853076" w:rsidP="00FD1062">
            <w:pPr>
              <w:pStyle w:val="BodyText"/>
              <w:ind w:left="0"/>
              <w:rPr>
                <w:b/>
                <w:lang w:val="en-NZ"/>
              </w:rPr>
            </w:pPr>
            <w:r w:rsidRPr="00C00716">
              <w:rPr>
                <w:b/>
                <w:lang w:val="en-NZ"/>
              </w:rPr>
              <w:t>$195,146.30</w:t>
            </w:r>
          </w:p>
          <w:p w:rsidR="00061AF5" w:rsidRPr="00C00716" w:rsidRDefault="00ED2A61" w:rsidP="00FD1062">
            <w:pPr>
              <w:pStyle w:val="BodyText"/>
              <w:ind w:left="0"/>
              <w:rPr>
                <w:b/>
                <w:lang w:val="en-NZ"/>
              </w:rPr>
            </w:pPr>
            <w:r>
              <w:rPr>
                <w:b/>
                <w:lang w:val="en-NZ"/>
              </w:rPr>
              <w:t>(53</w:t>
            </w:r>
            <w:r w:rsidR="00061AF5">
              <w:rPr>
                <w:b/>
                <w:lang w:val="en-NZ"/>
              </w:rPr>
              <w:t>% user pays)</w:t>
            </w:r>
          </w:p>
        </w:tc>
      </w:tr>
    </w:tbl>
    <w:p w:rsidR="00853076" w:rsidRDefault="00853076" w:rsidP="00853076">
      <w:pPr>
        <w:pStyle w:val="BodyText"/>
        <w:rPr>
          <w:lang w:val="en-NZ"/>
        </w:rPr>
      </w:pPr>
    </w:p>
    <w:p w:rsidR="00853076" w:rsidRDefault="00853076" w:rsidP="00853076">
      <w:pPr>
        <w:pStyle w:val="BodyText"/>
        <w:ind w:left="432"/>
        <w:rPr>
          <w:lang w:val="en-NZ"/>
        </w:rPr>
      </w:pPr>
      <w:r>
        <w:rPr>
          <w:lang w:val="en-NZ"/>
        </w:rPr>
        <w:t>Total costs:</w:t>
      </w:r>
    </w:p>
    <w:tbl>
      <w:tblPr>
        <w:tblStyle w:val="TableGrid"/>
        <w:tblW w:w="0" w:type="auto"/>
        <w:tblInd w:w="720" w:type="dxa"/>
        <w:tblLook w:val="04A0" w:firstRow="1" w:lastRow="0" w:firstColumn="1" w:lastColumn="0" w:noHBand="0" w:noVBand="1"/>
      </w:tblPr>
      <w:tblGrid>
        <w:gridCol w:w="4378"/>
        <w:gridCol w:w="3205"/>
      </w:tblGrid>
      <w:tr w:rsidR="00853076" w:rsidTr="00FD1062">
        <w:tc>
          <w:tcPr>
            <w:tcW w:w="4378" w:type="dxa"/>
          </w:tcPr>
          <w:p w:rsidR="00853076" w:rsidRPr="00C00716" w:rsidRDefault="00853076" w:rsidP="00FD1062">
            <w:pPr>
              <w:pStyle w:val="BodyText"/>
              <w:ind w:left="0"/>
              <w:rPr>
                <w:b/>
                <w:lang w:val="en-NZ"/>
              </w:rPr>
            </w:pPr>
            <w:r w:rsidRPr="00C00716">
              <w:rPr>
                <w:b/>
                <w:lang w:val="en-NZ"/>
              </w:rPr>
              <w:t>Cost type</w:t>
            </w:r>
          </w:p>
        </w:tc>
        <w:tc>
          <w:tcPr>
            <w:tcW w:w="3205" w:type="dxa"/>
          </w:tcPr>
          <w:p w:rsidR="00853076" w:rsidRPr="00C00716" w:rsidRDefault="00853076" w:rsidP="00FD1062">
            <w:pPr>
              <w:pStyle w:val="BodyText"/>
              <w:ind w:left="0"/>
              <w:rPr>
                <w:b/>
                <w:lang w:val="en-NZ"/>
              </w:rPr>
            </w:pPr>
            <w:r w:rsidRPr="00C00716">
              <w:rPr>
                <w:b/>
                <w:lang w:val="en-NZ"/>
              </w:rPr>
              <w:t>Expenditure (</w:t>
            </w:r>
            <w:r w:rsidRPr="00ED2A61">
              <w:rPr>
                <w:b/>
                <w:u w:val="single"/>
                <w:lang w:val="en-NZ"/>
              </w:rPr>
              <w:t>GST exclusive</w:t>
            </w:r>
            <w:r w:rsidRPr="00C00716">
              <w:rPr>
                <w:b/>
                <w:lang w:val="en-NZ"/>
              </w:rPr>
              <w:t>)</w:t>
            </w:r>
          </w:p>
        </w:tc>
      </w:tr>
      <w:tr w:rsidR="00853076" w:rsidTr="00FD1062">
        <w:tc>
          <w:tcPr>
            <w:tcW w:w="4378" w:type="dxa"/>
          </w:tcPr>
          <w:p w:rsidR="00853076" w:rsidRDefault="00853076" w:rsidP="00FD1062">
            <w:pPr>
              <w:pStyle w:val="BodyText"/>
              <w:ind w:left="0"/>
              <w:rPr>
                <w:lang w:val="en-NZ"/>
              </w:rPr>
            </w:pPr>
            <w:r>
              <w:rPr>
                <w:lang w:val="en-NZ"/>
              </w:rPr>
              <w:t>Disbursements to ARLA</w:t>
            </w:r>
          </w:p>
        </w:tc>
        <w:tc>
          <w:tcPr>
            <w:tcW w:w="3205" w:type="dxa"/>
          </w:tcPr>
          <w:p w:rsidR="00853076" w:rsidRDefault="00826899" w:rsidP="00FD1062">
            <w:pPr>
              <w:pStyle w:val="BodyText"/>
              <w:ind w:left="0"/>
              <w:rPr>
                <w:lang w:val="en-NZ"/>
              </w:rPr>
            </w:pPr>
            <w:r>
              <w:rPr>
                <w:lang w:val="en-NZ"/>
              </w:rPr>
              <w:t>$12,105.00</w:t>
            </w:r>
          </w:p>
        </w:tc>
      </w:tr>
      <w:tr w:rsidR="00853076" w:rsidTr="00FD1062">
        <w:tc>
          <w:tcPr>
            <w:tcW w:w="4378" w:type="dxa"/>
          </w:tcPr>
          <w:p w:rsidR="00853076" w:rsidRDefault="00853076" w:rsidP="00FD1062">
            <w:pPr>
              <w:pStyle w:val="BodyText"/>
              <w:ind w:left="0"/>
              <w:rPr>
                <w:lang w:val="en-NZ"/>
              </w:rPr>
            </w:pPr>
            <w:r>
              <w:rPr>
                <w:lang w:val="en-NZ"/>
              </w:rPr>
              <w:t>DLC / licence decision making functions</w:t>
            </w:r>
          </w:p>
          <w:p w:rsidR="00826899" w:rsidRDefault="00826899" w:rsidP="00FD1062">
            <w:pPr>
              <w:pStyle w:val="BodyText"/>
              <w:ind w:left="0"/>
              <w:rPr>
                <w:lang w:val="en-NZ"/>
              </w:rPr>
            </w:pPr>
            <w:r>
              <w:rPr>
                <w:lang w:val="en-NZ"/>
              </w:rPr>
              <w:t>(applications)</w:t>
            </w:r>
          </w:p>
        </w:tc>
        <w:tc>
          <w:tcPr>
            <w:tcW w:w="3205" w:type="dxa"/>
          </w:tcPr>
          <w:p w:rsidR="00853076" w:rsidRDefault="00826899" w:rsidP="00FD1062">
            <w:pPr>
              <w:pStyle w:val="BodyText"/>
              <w:ind w:left="0"/>
              <w:rPr>
                <w:lang w:val="en-NZ"/>
              </w:rPr>
            </w:pPr>
            <w:r>
              <w:rPr>
                <w:lang w:val="en-NZ"/>
              </w:rPr>
              <w:t>$146,314.00</w:t>
            </w:r>
          </w:p>
        </w:tc>
      </w:tr>
      <w:tr w:rsidR="00853076" w:rsidTr="00FD1062">
        <w:tc>
          <w:tcPr>
            <w:tcW w:w="4378" w:type="dxa"/>
          </w:tcPr>
          <w:p w:rsidR="00853076" w:rsidRDefault="00853076" w:rsidP="00FD1062">
            <w:pPr>
              <w:pStyle w:val="BodyText"/>
              <w:ind w:left="0"/>
              <w:rPr>
                <w:lang w:val="en-NZ"/>
              </w:rPr>
            </w:pPr>
            <w:r>
              <w:rPr>
                <w:lang w:val="en-NZ"/>
              </w:rPr>
              <w:t>Inspector and enforcement functions</w:t>
            </w:r>
          </w:p>
          <w:p w:rsidR="00826899" w:rsidRDefault="00826899" w:rsidP="00FD1062">
            <w:pPr>
              <w:pStyle w:val="BodyText"/>
              <w:ind w:left="0"/>
              <w:rPr>
                <w:lang w:val="en-NZ"/>
              </w:rPr>
            </w:pPr>
            <w:r>
              <w:rPr>
                <w:lang w:val="en-NZ"/>
              </w:rPr>
              <w:t>(monitoring and enforcement)</w:t>
            </w:r>
          </w:p>
        </w:tc>
        <w:tc>
          <w:tcPr>
            <w:tcW w:w="3205" w:type="dxa"/>
          </w:tcPr>
          <w:p w:rsidR="00853076" w:rsidRDefault="00826899" w:rsidP="00FD1062">
            <w:pPr>
              <w:pStyle w:val="BodyText"/>
              <w:ind w:left="0"/>
              <w:rPr>
                <w:lang w:val="en-NZ"/>
              </w:rPr>
            </w:pPr>
            <w:r>
              <w:rPr>
                <w:lang w:val="en-NZ"/>
              </w:rPr>
              <w:t>$16,257.00</w:t>
            </w:r>
          </w:p>
        </w:tc>
      </w:tr>
      <w:tr w:rsidR="00853076" w:rsidTr="00FD1062">
        <w:tc>
          <w:tcPr>
            <w:tcW w:w="4378" w:type="dxa"/>
          </w:tcPr>
          <w:p w:rsidR="00853076" w:rsidRDefault="00853076" w:rsidP="00FD1062">
            <w:pPr>
              <w:pStyle w:val="BodyText"/>
              <w:ind w:left="0"/>
              <w:rPr>
                <w:lang w:val="en-NZ"/>
              </w:rPr>
            </w:pPr>
            <w:r>
              <w:rPr>
                <w:lang w:val="en-NZ"/>
              </w:rPr>
              <w:t>Esti</w:t>
            </w:r>
            <w:r w:rsidR="00826899">
              <w:rPr>
                <w:lang w:val="en-NZ"/>
              </w:rPr>
              <w:t>mate of overhead costs</w:t>
            </w:r>
          </w:p>
        </w:tc>
        <w:tc>
          <w:tcPr>
            <w:tcW w:w="3205" w:type="dxa"/>
          </w:tcPr>
          <w:p w:rsidR="00853076" w:rsidRDefault="00826899" w:rsidP="00FD1062">
            <w:pPr>
              <w:pStyle w:val="BodyText"/>
              <w:ind w:left="0"/>
              <w:rPr>
                <w:lang w:val="en-NZ"/>
              </w:rPr>
            </w:pPr>
            <w:r>
              <w:rPr>
                <w:lang w:val="en-NZ"/>
              </w:rPr>
              <w:t>$146,699.00</w:t>
            </w:r>
          </w:p>
        </w:tc>
      </w:tr>
      <w:tr w:rsidR="00853076" w:rsidTr="00FD1062">
        <w:tc>
          <w:tcPr>
            <w:tcW w:w="4378" w:type="dxa"/>
          </w:tcPr>
          <w:p w:rsidR="00853076" w:rsidRPr="00C00716" w:rsidRDefault="00853076" w:rsidP="00FD1062">
            <w:pPr>
              <w:pStyle w:val="BodyText"/>
              <w:ind w:left="0"/>
              <w:rPr>
                <w:b/>
                <w:lang w:val="en-NZ"/>
              </w:rPr>
            </w:pPr>
            <w:r w:rsidRPr="00C00716">
              <w:rPr>
                <w:b/>
                <w:lang w:val="en-NZ"/>
              </w:rPr>
              <w:t>Total</w:t>
            </w:r>
          </w:p>
        </w:tc>
        <w:tc>
          <w:tcPr>
            <w:tcW w:w="3205" w:type="dxa"/>
          </w:tcPr>
          <w:p w:rsidR="00853076" w:rsidRPr="00826899" w:rsidRDefault="00826899" w:rsidP="00FD1062">
            <w:pPr>
              <w:pStyle w:val="BodyText"/>
              <w:ind w:left="0"/>
              <w:rPr>
                <w:b/>
                <w:lang w:val="en-NZ"/>
              </w:rPr>
            </w:pPr>
            <w:r>
              <w:rPr>
                <w:b/>
                <w:lang w:val="en-NZ"/>
              </w:rPr>
              <w:t>$321,37</w:t>
            </w:r>
            <w:r w:rsidRPr="00826899">
              <w:rPr>
                <w:b/>
                <w:lang w:val="en-NZ"/>
              </w:rPr>
              <w:t>5.00</w:t>
            </w:r>
          </w:p>
        </w:tc>
      </w:tr>
    </w:tbl>
    <w:p w:rsidR="00853076" w:rsidRDefault="00853076" w:rsidP="00853076">
      <w:pPr>
        <w:ind w:left="360" w:hanging="360"/>
        <w:rPr>
          <w:b/>
          <w:sz w:val="28"/>
          <w:szCs w:val="28"/>
        </w:rPr>
      </w:pPr>
    </w:p>
    <w:p w:rsidR="00853076" w:rsidRDefault="00853076" w:rsidP="00853076">
      <w:pPr>
        <w:ind w:left="360" w:hanging="360"/>
        <w:rPr>
          <w:b/>
          <w:sz w:val="28"/>
          <w:szCs w:val="28"/>
        </w:rPr>
      </w:pPr>
    </w:p>
    <w:p w:rsidR="00853076" w:rsidRPr="00853076" w:rsidRDefault="00ED2A61" w:rsidP="00853076">
      <w:pPr>
        <w:ind w:left="360" w:hanging="360"/>
        <w:rPr>
          <w:szCs w:val="22"/>
        </w:rPr>
      </w:pPr>
      <w:r>
        <w:rPr>
          <w:szCs w:val="22"/>
        </w:rPr>
        <w:tab/>
      </w:r>
      <w:r w:rsidR="00826899">
        <w:rPr>
          <w:szCs w:val="22"/>
        </w:rPr>
        <w:t xml:space="preserve">This report </w:t>
      </w:r>
      <w:r w:rsidR="00853076" w:rsidRPr="00853076">
        <w:rPr>
          <w:szCs w:val="22"/>
        </w:rPr>
        <w:t xml:space="preserve">follows the </w:t>
      </w:r>
      <w:r w:rsidR="00826899">
        <w:rPr>
          <w:szCs w:val="22"/>
        </w:rPr>
        <w:t xml:space="preserve">format in the </w:t>
      </w:r>
      <w:r w:rsidR="00853076" w:rsidRPr="00853076">
        <w:rPr>
          <w:szCs w:val="22"/>
        </w:rPr>
        <w:t>guidance material provided to territorial</w:t>
      </w:r>
      <w:r>
        <w:rPr>
          <w:szCs w:val="22"/>
        </w:rPr>
        <w:t xml:space="preserve"> </w:t>
      </w:r>
      <w:r w:rsidR="00853076" w:rsidRPr="00853076">
        <w:rPr>
          <w:szCs w:val="22"/>
        </w:rPr>
        <w:t>authorities</w:t>
      </w:r>
      <w:r w:rsidR="00826899">
        <w:rPr>
          <w:szCs w:val="22"/>
        </w:rPr>
        <w:t xml:space="preserve"> in October 2018 by Ministry of Justice.</w:t>
      </w:r>
    </w:p>
    <w:sectPr w:rsidR="00853076" w:rsidRPr="00853076" w:rsidSect="00E327E8">
      <w:headerReference w:type="default" r:id="rId10"/>
      <w:footerReference w:type="default" r:id="rId11"/>
      <w:pgSz w:w="11907" w:h="16840" w:code="9"/>
      <w:pgMar w:top="1440" w:right="1797" w:bottom="1440" w:left="1797" w:header="709" w:footer="340"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62" w:rsidRDefault="00FD1062" w:rsidP="007E3E96">
      <w:pPr>
        <w:pStyle w:val="Fileno"/>
      </w:pPr>
      <w:r>
        <w:separator/>
      </w:r>
    </w:p>
  </w:endnote>
  <w:endnote w:type="continuationSeparator" w:id="0">
    <w:p w:rsidR="00FD1062" w:rsidRDefault="00FD1062" w:rsidP="007E3E96">
      <w:pPr>
        <w:pStyle w:val="Filen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62" w:rsidRPr="000363B4" w:rsidRDefault="00FD1062">
    <w:pPr>
      <w:pStyle w:val="Footer"/>
      <w:rPr>
        <w:sz w:val="18"/>
        <w:szCs w:val="18"/>
      </w:rPr>
    </w:pPr>
    <w:r w:rsidRPr="000363B4">
      <w:rPr>
        <w:sz w:val="18"/>
        <w:szCs w:val="18"/>
      </w:rPr>
      <w:t xml:space="preserve">Page </w:t>
    </w:r>
    <w:r w:rsidRPr="000363B4">
      <w:rPr>
        <w:sz w:val="18"/>
        <w:szCs w:val="18"/>
      </w:rPr>
      <w:fldChar w:fldCharType="begin"/>
    </w:r>
    <w:r w:rsidRPr="000363B4">
      <w:rPr>
        <w:sz w:val="18"/>
        <w:szCs w:val="18"/>
      </w:rPr>
      <w:instrText xml:space="preserve"> PAGE </w:instrText>
    </w:r>
    <w:r w:rsidRPr="000363B4">
      <w:rPr>
        <w:sz w:val="18"/>
        <w:szCs w:val="18"/>
      </w:rPr>
      <w:fldChar w:fldCharType="separate"/>
    </w:r>
    <w:r w:rsidR="000A3F52">
      <w:rPr>
        <w:noProof/>
        <w:sz w:val="18"/>
        <w:szCs w:val="18"/>
      </w:rPr>
      <w:t>1</w:t>
    </w:r>
    <w:r w:rsidRPr="000363B4">
      <w:rPr>
        <w:sz w:val="18"/>
        <w:szCs w:val="18"/>
      </w:rPr>
      <w:fldChar w:fldCharType="end"/>
    </w:r>
    <w:r w:rsidRPr="000363B4">
      <w:rPr>
        <w:sz w:val="18"/>
        <w:szCs w:val="18"/>
      </w:rPr>
      <w:t xml:space="preserve"> of </w:t>
    </w:r>
    <w:r w:rsidRPr="000363B4">
      <w:rPr>
        <w:sz w:val="18"/>
        <w:szCs w:val="18"/>
      </w:rPr>
      <w:fldChar w:fldCharType="begin"/>
    </w:r>
    <w:r w:rsidRPr="000363B4">
      <w:rPr>
        <w:sz w:val="18"/>
        <w:szCs w:val="18"/>
      </w:rPr>
      <w:instrText xml:space="preserve"> NUMPAGES </w:instrText>
    </w:r>
    <w:r w:rsidRPr="000363B4">
      <w:rPr>
        <w:sz w:val="18"/>
        <w:szCs w:val="18"/>
      </w:rPr>
      <w:fldChar w:fldCharType="separate"/>
    </w:r>
    <w:r w:rsidR="000A3F52">
      <w:rPr>
        <w:noProof/>
        <w:sz w:val="18"/>
        <w:szCs w:val="18"/>
      </w:rPr>
      <w:t>9</w:t>
    </w:r>
    <w:r w:rsidRPr="000363B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62" w:rsidRDefault="00FD1062" w:rsidP="007E3E96">
      <w:pPr>
        <w:pStyle w:val="Fileno"/>
      </w:pPr>
      <w:r>
        <w:separator/>
      </w:r>
    </w:p>
  </w:footnote>
  <w:footnote w:type="continuationSeparator" w:id="0">
    <w:p w:rsidR="00FD1062" w:rsidRDefault="00FD1062" w:rsidP="007E3E96">
      <w:pPr>
        <w:pStyle w:val="Filen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62" w:rsidRPr="0080344A" w:rsidRDefault="000A3F52" w:rsidP="00ED6A14">
    <w:pPr>
      <w:pStyle w:val="Header"/>
      <w:jc w:val="right"/>
    </w:pPr>
    <w:r>
      <w:fldChar w:fldCharType="begin"/>
    </w:r>
    <w:r>
      <w:instrText xml:space="preserve"> DOCVARIABLE  "DocumentNumber" \* MERGEFORMAT </w:instrText>
    </w:r>
    <w:r>
      <w:fldChar w:fldCharType="separate"/>
    </w:r>
    <w:r w:rsidR="00FD1062" w:rsidRPr="00826899">
      <w:rPr>
        <w:b/>
        <w:bCs/>
        <w:lang w:val="en-US"/>
      </w:rPr>
      <w:t>RS-19-878</w:t>
    </w:r>
    <w:r>
      <w:rPr>
        <w:b/>
        <w:bCs/>
        <w:lang w:val="en-U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0FEB20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30852C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CC64E48"/>
    <w:lvl w:ilvl="0">
      <w:start w:val="1"/>
      <w:numFmt w:val="bullet"/>
      <w:pStyle w:val="ListBullet2"/>
      <w:lvlText w:val=""/>
      <w:lvlJc w:val="left"/>
      <w:pPr>
        <w:tabs>
          <w:tab w:val="num" w:pos="2058"/>
        </w:tabs>
        <w:ind w:left="2058" w:hanging="357"/>
      </w:pPr>
      <w:rPr>
        <w:rFonts w:ascii="Symbol" w:hAnsi="Symbol" w:hint="default"/>
        <w:sz w:val="16"/>
        <w:szCs w:val="16"/>
      </w:rPr>
    </w:lvl>
  </w:abstractNum>
  <w:abstractNum w:abstractNumId="3" w15:restartNumberingAfterBreak="0">
    <w:nsid w:val="FFFFFF89"/>
    <w:multiLevelType w:val="singleLevel"/>
    <w:tmpl w:val="80A82A8C"/>
    <w:lvl w:ilvl="0">
      <w:start w:val="1"/>
      <w:numFmt w:val="lowerLetter"/>
      <w:lvlText w:val="%1)"/>
      <w:lvlJc w:val="left"/>
      <w:pPr>
        <w:tabs>
          <w:tab w:val="num" w:pos="1494"/>
        </w:tabs>
        <w:ind w:left="1494" w:hanging="360"/>
      </w:pPr>
      <w:rPr>
        <w:rFonts w:hint="default"/>
        <w:sz w:val="16"/>
        <w:szCs w:val="16"/>
      </w:rPr>
    </w:lvl>
  </w:abstractNum>
  <w:abstractNum w:abstractNumId="4" w15:restartNumberingAfterBreak="0">
    <w:nsid w:val="000A2118"/>
    <w:multiLevelType w:val="multilevel"/>
    <w:tmpl w:val="6018D44E"/>
    <w:styleLink w:val="Style1"/>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1F00EC3"/>
    <w:multiLevelType w:val="multilevel"/>
    <w:tmpl w:val="F836F668"/>
    <w:lvl w:ilvl="0">
      <w:start w:val="1"/>
      <w:numFmt w:val="decimal"/>
      <w:lvlText w:val="%1"/>
      <w:lvlJc w:val="left"/>
      <w:pPr>
        <w:tabs>
          <w:tab w:val="num" w:pos="432"/>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E67716"/>
    <w:multiLevelType w:val="hybridMultilevel"/>
    <w:tmpl w:val="AD1ED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97D39"/>
    <w:multiLevelType w:val="multilevel"/>
    <w:tmpl w:val="F0E4EFC6"/>
    <w:styleLink w:val="CurrentList1"/>
    <w:lvl w:ilvl="0">
      <w:start w:val="22"/>
      <w:numFmt w:val="decimal"/>
      <w:lvlText w:val="%1"/>
      <w:lvlJc w:val="left"/>
      <w:pPr>
        <w:tabs>
          <w:tab w:val="num" w:pos="672"/>
        </w:tabs>
        <w:ind w:left="67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A8046C"/>
    <w:multiLevelType w:val="multilevel"/>
    <w:tmpl w:val="BDACFB9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3E6186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68513D"/>
    <w:multiLevelType w:val="hybridMultilevel"/>
    <w:tmpl w:val="B77EE2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FA00F9"/>
    <w:multiLevelType w:val="multilevel"/>
    <w:tmpl w:val="BDACFB9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8F53470"/>
    <w:multiLevelType w:val="hybridMultilevel"/>
    <w:tmpl w:val="C7AA3A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95A4597"/>
    <w:multiLevelType w:val="hybridMultilevel"/>
    <w:tmpl w:val="58BC9222"/>
    <w:lvl w:ilvl="0" w:tplc="CB54EDA8">
      <w:start w:val="1"/>
      <w:numFmt w:val="decimal"/>
      <w:lvlText w:val="%1."/>
      <w:lvlJc w:val="left"/>
      <w:pPr>
        <w:ind w:left="360" w:hanging="360"/>
      </w:pPr>
      <w:rPr>
        <w:rFonts w:hint="default"/>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5F71B4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756F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426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A681C61"/>
    <w:multiLevelType w:val="multilevel"/>
    <w:tmpl w:val="F1586AD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0CE1417"/>
    <w:multiLevelType w:val="hybridMultilevel"/>
    <w:tmpl w:val="E21257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1B521C3"/>
    <w:multiLevelType w:val="multilevel"/>
    <w:tmpl w:val="F900FA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26B7A24"/>
    <w:multiLevelType w:val="multilevel"/>
    <w:tmpl w:val="BDACFB9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3B73440"/>
    <w:multiLevelType w:val="multilevel"/>
    <w:tmpl w:val="B8B222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67C64CA"/>
    <w:multiLevelType w:val="multilevel"/>
    <w:tmpl w:val="924E2524"/>
    <w:styleLink w:val="Style3"/>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9DE2926"/>
    <w:multiLevelType w:val="multilevel"/>
    <w:tmpl w:val="EA9E5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D3849AF"/>
    <w:multiLevelType w:val="multilevel"/>
    <w:tmpl w:val="BDACFB9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E976B5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7942C6"/>
    <w:multiLevelType w:val="hybridMultilevel"/>
    <w:tmpl w:val="B06CB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141D60"/>
    <w:multiLevelType w:val="hybridMultilevel"/>
    <w:tmpl w:val="5C28EE8E"/>
    <w:lvl w:ilvl="0" w:tplc="EFC4D560">
      <w:start w:val="1"/>
      <w:numFmt w:val="decimal"/>
      <w:pStyle w:val="Number"/>
      <w:lvlText w:val="%1"/>
      <w:lvlJc w:val="left"/>
      <w:pPr>
        <w:tabs>
          <w:tab w:val="num" w:pos="900"/>
        </w:tabs>
        <w:ind w:left="900" w:hanging="54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A5E2BC7"/>
    <w:multiLevelType w:val="hybridMultilevel"/>
    <w:tmpl w:val="3AA4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4435E6"/>
    <w:multiLevelType w:val="singleLevel"/>
    <w:tmpl w:val="02528484"/>
    <w:lvl w:ilvl="0">
      <w:start w:val="1"/>
      <w:numFmt w:val="decimal"/>
      <w:lvlText w:val="3.%1."/>
      <w:legacy w:legacy="1" w:legacySpace="0" w:legacyIndent="680"/>
      <w:lvlJc w:val="left"/>
      <w:pPr>
        <w:ind w:left="680" w:hanging="680"/>
      </w:pPr>
      <w:rPr>
        <w:b w:val="0"/>
        <w:i w:val="0"/>
      </w:rPr>
    </w:lvl>
  </w:abstractNum>
  <w:abstractNum w:abstractNumId="30" w15:restartNumberingAfterBreak="0">
    <w:nsid w:val="5521100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517A34"/>
    <w:multiLevelType w:val="hybridMultilevel"/>
    <w:tmpl w:val="E8E2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271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60B6F4A"/>
    <w:multiLevelType w:val="hybridMultilevel"/>
    <w:tmpl w:val="2C1EF48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6B1D7DD5"/>
    <w:multiLevelType w:val="multilevel"/>
    <w:tmpl w:val="1C5447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2A85E60"/>
    <w:multiLevelType w:val="multilevel"/>
    <w:tmpl w:val="A30693F6"/>
    <w:lvl w:ilvl="0">
      <w:start w:val="1"/>
      <w:numFmt w:val="bullet"/>
      <w:lvlText w:val=""/>
      <w:lvlJc w:val="left"/>
      <w:pPr>
        <w:tabs>
          <w:tab w:val="num" w:pos="864"/>
        </w:tabs>
        <w:ind w:left="864" w:hanging="432"/>
      </w:pPr>
      <w:rPr>
        <w:rFonts w:ascii="Symbol" w:hAnsi="Symbol" w:hint="default"/>
      </w:rPr>
    </w:lvl>
    <w:lvl w:ilvl="1">
      <w:start w:val="1"/>
      <w:numFmt w:val="decimal"/>
      <w:lvlText w:val="%1.%2"/>
      <w:lvlJc w:val="left"/>
      <w:pPr>
        <w:tabs>
          <w:tab w:val="num" w:pos="1008"/>
        </w:tabs>
        <w:ind w:left="1008" w:hanging="576"/>
      </w:pPr>
    </w:lvl>
    <w:lvl w:ilvl="2">
      <w:start w:val="1"/>
      <w:numFmt w:val="decimal"/>
      <w:lvlText w:val="%1.%2.%3"/>
      <w:lvlJc w:val="left"/>
      <w:pPr>
        <w:tabs>
          <w:tab w:val="num" w:pos="1152"/>
        </w:tabs>
        <w:ind w:left="1152" w:hanging="720"/>
      </w:pPr>
    </w:lvl>
    <w:lvl w:ilvl="3">
      <w:start w:val="1"/>
      <w:numFmt w:val="decimal"/>
      <w:lvlText w:val="%1.%2.%3.%4"/>
      <w:lvlJc w:val="left"/>
      <w:pPr>
        <w:tabs>
          <w:tab w:val="num" w:pos="1296"/>
        </w:tabs>
        <w:ind w:left="129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36" w15:restartNumberingAfterBreak="0">
    <w:nsid w:val="7355659D"/>
    <w:multiLevelType w:val="hybridMultilevel"/>
    <w:tmpl w:val="F9FA6D68"/>
    <w:lvl w:ilvl="0" w:tplc="CE320AF0">
      <w:start w:val="1"/>
      <w:numFmt w:val="bullet"/>
      <w:pStyle w:val="ListBullet1"/>
      <w:lvlText w:val=""/>
      <w:lvlJc w:val="left"/>
      <w:pPr>
        <w:tabs>
          <w:tab w:val="num" w:pos="1494"/>
        </w:tabs>
        <w:ind w:left="1494" w:hanging="360"/>
      </w:pPr>
      <w:rPr>
        <w:rFonts w:ascii="Symbol" w:hAnsi="Symbol" w:hint="default"/>
        <w:sz w:val="16"/>
        <w:szCs w:val="16"/>
      </w:rPr>
    </w:lvl>
    <w:lvl w:ilvl="1" w:tplc="04090003" w:tentative="1">
      <w:start w:val="1"/>
      <w:numFmt w:val="bullet"/>
      <w:lvlText w:val="o"/>
      <w:lvlJc w:val="left"/>
      <w:pPr>
        <w:tabs>
          <w:tab w:val="num" w:pos="1854"/>
        </w:tabs>
        <w:ind w:left="1854" w:hanging="360"/>
      </w:pPr>
      <w:rPr>
        <w:rFonts w:ascii="Courier New" w:hAnsi="Courier New" w:cs="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37" w15:restartNumberingAfterBreak="0">
    <w:nsid w:val="75620A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6113AD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3C31C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8D7A6D"/>
    <w:multiLevelType w:val="hybridMultilevel"/>
    <w:tmpl w:val="DE16709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17"/>
  </w:num>
  <w:num w:numId="3">
    <w:abstractNumId w:val="11"/>
  </w:num>
  <w:num w:numId="4">
    <w:abstractNumId w:val="29"/>
  </w:num>
  <w:num w:numId="5">
    <w:abstractNumId w:val="34"/>
  </w:num>
  <w:num w:numId="6">
    <w:abstractNumId w:val="3"/>
  </w:num>
  <w:num w:numId="7">
    <w:abstractNumId w:val="2"/>
  </w:num>
  <w:num w:numId="8">
    <w:abstractNumId w:val="1"/>
  </w:num>
  <w:num w:numId="9">
    <w:abstractNumId w:val="0"/>
  </w:num>
  <w:num w:numId="10">
    <w:abstractNumId w:val="11"/>
  </w:num>
  <w:num w:numId="11">
    <w:abstractNumId w:val="3"/>
  </w:num>
  <w:num w:numId="12">
    <w:abstractNumId w:val="36"/>
  </w:num>
  <w:num w:numId="13">
    <w:abstractNumId w:val="2"/>
  </w:num>
  <w:num w:numId="14">
    <w:abstractNumId w:val="19"/>
  </w:num>
  <w:num w:numId="15">
    <w:abstractNumId w:val="16"/>
  </w:num>
  <w:num w:numId="16">
    <w:abstractNumId w:val="32"/>
  </w:num>
  <w:num w:numId="17">
    <w:abstractNumId w:val="18"/>
  </w:num>
  <w:num w:numId="18">
    <w:abstractNumId w:val="21"/>
  </w:num>
  <w:num w:numId="19">
    <w:abstractNumId w:val="24"/>
  </w:num>
  <w:num w:numId="20">
    <w:abstractNumId w:val="20"/>
  </w:num>
  <w:num w:numId="21">
    <w:abstractNumId w:val="9"/>
  </w:num>
  <w:num w:numId="22">
    <w:abstractNumId w:val="14"/>
  </w:num>
  <w:num w:numId="23">
    <w:abstractNumId w:val="15"/>
  </w:num>
  <w:num w:numId="24">
    <w:abstractNumId w:val="39"/>
  </w:num>
  <w:num w:numId="25">
    <w:abstractNumId w:val="30"/>
  </w:num>
  <w:num w:numId="26">
    <w:abstractNumId w:val="38"/>
  </w:num>
  <w:num w:numId="27">
    <w:abstractNumId w:val="8"/>
  </w:num>
  <w:num w:numId="28">
    <w:abstractNumId w:val="25"/>
  </w:num>
  <w:num w:numId="29">
    <w:abstractNumId w:val="37"/>
  </w:num>
  <w:num w:numId="30">
    <w:abstractNumId w:val="5"/>
  </w:num>
  <w:num w:numId="31">
    <w:abstractNumId w:val="27"/>
  </w:num>
  <w:num w:numId="32">
    <w:abstractNumId w:val="27"/>
  </w:num>
  <w:num w:numId="33">
    <w:abstractNumId w:val="27"/>
  </w:num>
  <w:num w:numId="34">
    <w:abstractNumId w:val="6"/>
  </w:num>
  <w:num w:numId="35">
    <w:abstractNumId w:val="26"/>
  </w:num>
  <w:num w:numId="36">
    <w:abstractNumId w:val="28"/>
  </w:num>
  <w:num w:numId="37">
    <w:abstractNumId w:val="31"/>
  </w:num>
  <w:num w:numId="38">
    <w:abstractNumId w:val="10"/>
  </w:num>
  <w:num w:numId="39">
    <w:abstractNumId w:val="7"/>
  </w:num>
  <w:num w:numId="40">
    <w:abstractNumId w:val="4"/>
  </w:num>
  <w:num w:numId="41">
    <w:abstractNumId w:val="22"/>
  </w:num>
  <w:num w:numId="42">
    <w:abstractNumId w:val="3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abstractNumId w:val="21"/>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6">
    <w:abstractNumId w:val="13"/>
  </w:num>
  <w:num w:numId="47">
    <w:abstractNumId w:val="40"/>
  </w:num>
  <w:num w:numId="48">
    <w:abstractNumId w:val="3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Chairperson and Committee Members"/>
    <w:docVar w:name="Approval" w:val="Natasha Tod"/>
    <w:docVar w:name="Author" w:val="Katherine McLellan"/>
    <w:docVar w:name="BusinessUnit" w:val="RS"/>
    <w:docVar w:name="Committee" w:val="Operations &amp; Finance Committee"/>
    <w:docVar w:name="Date_Of_Meeting" w:val="15 August 2019"/>
    <w:docVar w:name="DocumentCategory" w:val="Report"/>
    <w:docVar w:name="DocumentNumber" w:val="RS-19-878"/>
    <w:docVar w:name="Exclusion" w:val="Public"/>
    <w:docVar w:name="FileNumber" w:val="000"/>
    <w:docVar w:name="KeyWords" w:val=" "/>
    <w:docVar w:name="Month" w:val="7"/>
    <w:docVar w:name="Purpose" w:val=" For Information"/>
    <w:docVar w:name="Title" w:val="Annual Alcohol and Licensing Report 2018/19"/>
    <w:docVar w:name="Year" w:val="2019"/>
  </w:docVars>
  <w:rsids>
    <w:rsidRoot w:val="000E6E80"/>
    <w:rsid w:val="0000046D"/>
    <w:rsid w:val="000047CD"/>
    <w:rsid w:val="0000516D"/>
    <w:rsid w:val="000056C2"/>
    <w:rsid w:val="00007F73"/>
    <w:rsid w:val="00010A4A"/>
    <w:rsid w:val="00012E18"/>
    <w:rsid w:val="00012F2C"/>
    <w:rsid w:val="00013984"/>
    <w:rsid w:val="000149D1"/>
    <w:rsid w:val="000218CB"/>
    <w:rsid w:val="00023FA1"/>
    <w:rsid w:val="00025AD1"/>
    <w:rsid w:val="00026A09"/>
    <w:rsid w:val="00031483"/>
    <w:rsid w:val="00031ACF"/>
    <w:rsid w:val="00031F83"/>
    <w:rsid w:val="00034961"/>
    <w:rsid w:val="000363B4"/>
    <w:rsid w:val="00036D43"/>
    <w:rsid w:val="000406A0"/>
    <w:rsid w:val="00041985"/>
    <w:rsid w:val="00047FD0"/>
    <w:rsid w:val="00050855"/>
    <w:rsid w:val="00054BAB"/>
    <w:rsid w:val="0005718C"/>
    <w:rsid w:val="00057A6C"/>
    <w:rsid w:val="00061AF5"/>
    <w:rsid w:val="00064513"/>
    <w:rsid w:val="0006539C"/>
    <w:rsid w:val="00066AC9"/>
    <w:rsid w:val="000678F8"/>
    <w:rsid w:val="00077008"/>
    <w:rsid w:val="000817A5"/>
    <w:rsid w:val="00083757"/>
    <w:rsid w:val="000902FB"/>
    <w:rsid w:val="00090BA7"/>
    <w:rsid w:val="00091CF4"/>
    <w:rsid w:val="00092558"/>
    <w:rsid w:val="000A0B8B"/>
    <w:rsid w:val="000A1675"/>
    <w:rsid w:val="000A2144"/>
    <w:rsid w:val="000A3F52"/>
    <w:rsid w:val="000A747A"/>
    <w:rsid w:val="000B0622"/>
    <w:rsid w:val="000B0822"/>
    <w:rsid w:val="000B212D"/>
    <w:rsid w:val="000B2DA9"/>
    <w:rsid w:val="000B6056"/>
    <w:rsid w:val="000C3016"/>
    <w:rsid w:val="000C5CDC"/>
    <w:rsid w:val="000C5F75"/>
    <w:rsid w:val="000D19F2"/>
    <w:rsid w:val="000D1DB2"/>
    <w:rsid w:val="000D461C"/>
    <w:rsid w:val="000D4627"/>
    <w:rsid w:val="000D7723"/>
    <w:rsid w:val="000E0468"/>
    <w:rsid w:val="000E6E80"/>
    <w:rsid w:val="000E787E"/>
    <w:rsid w:val="000E7AE5"/>
    <w:rsid w:val="000F55A4"/>
    <w:rsid w:val="000F680F"/>
    <w:rsid w:val="000F6E35"/>
    <w:rsid w:val="0010173E"/>
    <w:rsid w:val="00101859"/>
    <w:rsid w:val="001048D8"/>
    <w:rsid w:val="00104F49"/>
    <w:rsid w:val="0011040B"/>
    <w:rsid w:val="001125D8"/>
    <w:rsid w:val="00112BD8"/>
    <w:rsid w:val="00114D94"/>
    <w:rsid w:val="00116F43"/>
    <w:rsid w:val="00122F7D"/>
    <w:rsid w:val="0012357F"/>
    <w:rsid w:val="00124C9A"/>
    <w:rsid w:val="0012589E"/>
    <w:rsid w:val="001279F2"/>
    <w:rsid w:val="00127A39"/>
    <w:rsid w:val="00131AC0"/>
    <w:rsid w:val="00131AF7"/>
    <w:rsid w:val="00134877"/>
    <w:rsid w:val="0013532D"/>
    <w:rsid w:val="00135973"/>
    <w:rsid w:val="00137399"/>
    <w:rsid w:val="00140EED"/>
    <w:rsid w:val="001423C3"/>
    <w:rsid w:val="001444E6"/>
    <w:rsid w:val="0014555B"/>
    <w:rsid w:val="00147E6F"/>
    <w:rsid w:val="00151B23"/>
    <w:rsid w:val="00153282"/>
    <w:rsid w:val="00155DE9"/>
    <w:rsid w:val="001568CE"/>
    <w:rsid w:val="0015772C"/>
    <w:rsid w:val="00157A67"/>
    <w:rsid w:val="00163975"/>
    <w:rsid w:val="00164406"/>
    <w:rsid w:val="001668F7"/>
    <w:rsid w:val="00166CD8"/>
    <w:rsid w:val="001744B5"/>
    <w:rsid w:val="0017698F"/>
    <w:rsid w:val="001851E7"/>
    <w:rsid w:val="00193037"/>
    <w:rsid w:val="00196378"/>
    <w:rsid w:val="00197607"/>
    <w:rsid w:val="00197CE9"/>
    <w:rsid w:val="001A0BDB"/>
    <w:rsid w:val="001A55E0"/>
    <w:rsid w:val="001A638A"/>
    <w:rsid w:val="001A7360"/>
    <w:rsid w:val="001B004B"/>
    <w:rsid w:val="001B1B2F"/>
    <w:rsid w:val="001B2E27"/>
    <w:rsid w:val="001B3984"/>
    <w:rsid w:val="001B4DD0"/>
    <w:rsid w:val="001B5CED"/>
    <w:rsid w:val="001C0522"/>
    <w:rsid w:val="001C1A9F"/>
    <w:rsid w:val="001C53BB"/>
    <w:rsid w:val="001C6921"/>
    <w:rsid w:val="001D1570"/>
    <w:rsid w:val="001D2AD7"/>
    <w:rsid w:val="001D2EB8"/>
    <w:rsid w:val="001D2F7D"/>
    <w:rsid w:val="001D57CF"/>
    <w:rsid w:val="001D616B"/>
    <w:rsid w:val="001E15E7"/>
    <w:rsid w:val="001E2F45"/>
    <w:rsid w:val="001E4EB5"/>
    <w:rsid w:val="001F057B"/>
    <w:rsid w:val="001F23A5"/>
    <w:rsid w:val="001F2E53"/>
    <w:rsid w:val="001F325B"/>
    <w:rsid w:val="001F3325"/>
    <w:rsid w:val="001F5DC3"/>
    <w:rsid w:val="001F680D"/>
    <w:rsid w:val="00201896"/>
    <w:rsid w:val="00204954"/>
    <w:rsid w:val="00207CB3"/>
    <w:rsid w:val="0021737E"/>
    <w:rsid w:val="0021771C"/>
    <w:rsid w:val="00217D85"/>
    <w:rsid w:val="00221DE4"/>
    <w:rsid w:val="00223A92"/>
    <w:rsid w:val="002244B6"/>
    <w:rsid w:val="00232522"/>
    <w:rsid w:val="002333EE"/>
    <w:rsid w:val="00234F63"/>
    <w:rsid w:val="00244C32"/>
    <w:rsid w:val="00246E4E"/>
    <w:rsid w:val="002506DA"/>
    <w:rsid w:val="002511D3"/>
    <w:rsid w:val="0025623D"/>
    <w:rsid w:val="00256FC6"/>
    <w:rsid w:val="0025747F"/>
    <w:rsid w:val="00257D54"/>
    <w:rsid w:val="00264162"/>
    <w:rsid w:val="002647FD"/>
    <w:rsid w:val="00266D11"/>
    <w:rsid w:val="00270D80"/>
    <w:rsid w:val="00272463"/>
    <w:rsid w:val="0027267A"/>
    <w:rsid w:val="00272E91"/>
    <w:rsid w:val="002736F7"/>
    <w:rsid w:val="00274CDC"/>
    <w:rsid w:val="00281F97"/>
    <w:rsid w:val="002849FE"/>
    <w:rsid w:val="00286AF7"/>
    <w:rsid w:val="002876D5"/>
    <w:rsid w:val="00293425"/>
    <w:rsid w:val="00294CB6"/>
    <w:rsid w:val="002A6722"/>
    <w:rsid w:val="002A6B41"/>
    <w:rsid w:val="002A763F"/>
    <w:rsid w:val="002B71A9"/>
    <w:rsid w:val="002B7590"/>
    <w:rsid w:val="002C2111"/>
    <w:rsid w:val="002C3DED"/>
    <w:rsid w:val="002C3F85"/>
    <w:rsid w:val="002C5430"/>
    <w:rsid w:val="002C645A"/>
    <w:rsid w:val="002C6A87"/>
    <w:rsid w:val="002D52D7"/>
    <w:rsid w:val="002D5ED4"/>
    <w:rsid w:val="002E0CE2"/>
    <w:rsid w:val="002E3CDA"/>
    <w:rsid w:val="002E4284"/>
    <w:rsid w:val="002E428B"/>
    <w:rsid w:val="002E4510"/>
    <w:rsid w:val="002E654C"/>
    <w:rsid w:val="002E6B3A"/>
    <w:rsid w:val="002F1A3B"/>
    <w:rsid w:val="002F1E41"/>
    <w:rsid w:val="002F2186"/>
    <w:rsid w:val="00300906"/>
    <w:rsid w:val="00302519"/>
    <w:rsid w:val="0030251D"/>
    <w:rsid w:val="0030329A"/>
    <w:rsid w:val="00303A9C"/>
    <w:rsid w:val="00304E5E"/>
    <w:rsid w:val="00310A4C"/>
    <w:rsid w:val="00311ADE"/>
    <w:rsid w:val="00317DF8"/>
    <w:rsid w:val="00320727"/>
    <w:rsid w:val="00326ED1"/>
    <w:rsid w:val="0033218F"/>
    <w:rsid w:val="00333F9D"/>
    <w:rsid w:val="0033435E"/>
    <w:rsid w:val="00334640"/>
    <w:rsid w:val="00334B75"/>
    <w:rsid w:val="00335C1B"/>
    <w:rsid w:val="003404C8"/>
    <w:rsid w:val="00343BEC"/>
    <w:rsid w:val="00350DFD"/>
    <w:rsid w:val="00351A2A"/>
    <w:rsid w:val="00352BBC"/>
    <w:rsid w:val="00353242"/>
    <w:rsid w:val="0035338C"/>
    <w:rsid w:val="00357C48"/>
    <w:rsid w:val="00361EC5"/>
    <w:rsid w:val="00363CC7"/>
    <w:rsid w:val="00365371"/>
    <w:rsid w:val="00366A5A"/>
    <w:rsid w:val="00375240"/>
    <w:rsid w:val="00375F26"/>
    <w:rsid w:val="00376A18"/>
    <w:rsid w:val="003802A5"/>
    <w:rsid w:val="003806F2"/>
    <w:rsid w:val="00383109"/>
    <w:rsid w:val="00385BE1"/>
    <w:rsid w:val="003863A3"/>
    <w:rsid w:val="00386BC2"/>
    <w:rsid w:val="00387BF1"/>
    <w:rsid w:val="00390B65"/>
    <w:rsid w:val="00390BF0"/>
    <w:rsid w:val="00393D4E"/>
    <w:rsid w:val="00397817"/>
    <w:rsid w:val="003A6ED1"/>
    <w:rsid w:val="003B17E0"/>
    <w:rsid w:val="003B3501"/>
    <w:rsid w:val="003B4A33"/>
    <w:rsid w:val="003B5167"/>
    <w:rsid w:val="003C048E"/>
    <w:rsid w:val="003C0888"/>
    <w:rsid w:val="003C1313"/>
    <w:rsid w:val="003C255F"/>
    <w:rsid w:val="003C2808"/>
    <w:rsid w:val="003C5DF9"/>
    <w:rsid w:val="003D2CE9"/>
    <w:rsid w:val="003D3C81"/>
    <w:rsid w:val="003E27DE"/>
    <w:rsid w:val="003E6525"/>
    <w:rsid w:val="003E7423"/>
    <w:rsid w:val="003E7D7A"/>
    <w:rsid w:val="003F04AE"/>
    <w:rsid w:val="003F27DA"/>
    <w:rsid w:val="003F3309"/>
    <w:rsid w:val="003F6C2A"/>
    <w:rsid w:val="00402F53"/>
    <w:rsid w:val="00404CC3"/>
    <w:rsid w:val="00412690"/>
    <w:rsid w:val="00414634"/>
    <w:rsid w:val="00417A2E"/>
    <w:rsid w:val="00422514"/>
    <w:rsid w:val="00422DAA"/>
    <w:rsid w:val="004247FE"/>
    <w:rsid w:val="0042608C"/>
    <w:rsid w:val="00427AB1"/>
    <w:rsid w:val="004301BD"/>
    <w:rsid w:val="004310FE"/>
    <w:rsid w:val="004314C2"/>
    <w:rsid w:val="004342B3"/>
    <w:rsid w:val="00435272"/>
    <w:rsid w:val="00436E20"/>
    <w:rsid w:val="0044117C"/>
    <w:rsid w:val="00446BEB"/>
    <w:rsid w:val="00446CB9"/>
    <w:rsid w:val="00447768"/>
    <w:rsid w:val="00447810"/>
    <w:rsid w:val="004577F8"/>
    <w:rsid w:val="00457E2D"/>
    <w:rsid w:val="00457FA8"/>
    <w:rsid w:val="004607FF"/>
    <w:rsid w:val="0046410E"/>
    <w:rsid w:val="0046456C"/>
    <w:rsid w:val="0046625F"/>
    <w:rsid w:val="0046698B"/>
    <w:rsid w:val="00467209"/>
    <w:rsid w:val="00472811"/>
    <w:rsid w:val="004761F9"/>
    <w:rsid w:val="00477A58"/>
    <w:rsid w:val="00482CBF"/>
    <w:rsid w:val="00484BF1"/>
    <w:rsid w:val="004852BC"/>
    <w:rsid w:val="00487004"/>
    <w:rsid w:val="00491028"/>
    <w:rsid w:val="00495AA4"/>
    <w:rsid w:val="004A0CBA"/>
    <w:rsid w:val="004A1409"/>
    <w:rsid w:val="004A2373"/>
    <w:rsid w:val="004A2E5C"/>
    <w:rsid w:val="004A4433"/>
    <w:rsid w:val="004B0C22"/>
    <w:rsid w:val="004B10D0"/>
    <w:rsid w:val="004B62F9"/>
    <w:rsid w:val="004B6CD4"/>
    <w:rsid w:val="004C1AC4"/>
    <w:rsid w:val="004C32A7"/>
    <w:rsid w:val="004C37F4"/>
    <w:rsid w:val="004C794C"/>
    <w:rsid w:val="004C7F17"/>
    <w:rsid w:val="004D123A"/>
    <w:rsid w:val="004D5D7B"/>
    <w:rsid w:val="004E06D0"/>
    <w:rsid w:val="004E23E3"/>
    <w:rsid w:val="004E2CFB"/>
    <w:rsid w:val="004E3015"/>
    <w:rsid w:val="004E31A3"/>
    <w:rsid w:val="004E4076"/>
    <w:rsid w:val="004E5522"/>
    <w:rsid w:val="004F2613"/>
    <w:rsid w:val="004F3A84"/>
    <w:rsid w:val="004F64F8"/>
    <w:rsid w:val="004F7945"/>
    <w:rsid w:val="00504B34"/>
    <w:rsid w:val="00505646"/>
    <w:rsid w:val="00505983"/>
    <w:rsid w:val="00507C5B"/>
    <w:rsid w:val="00512D64"/>
    <w:rsid w:val="005130FB"/>
    <w:rsid w:val="00514CBA"/>
    <w:rsid w:val="00517ACE"/>
    <w:rsid w:val="00517F37"/>
    <w:rsid w:val="00520157"/>
    <w:rsid w:val="0052022C"/>
    <w:rsid w:val="00521576"/>
    <w:rsid w:val="005237F1"/>
    <w:rsid w:val="00523EAC"/>
    <w:rsid w:val="00524659"/>
    <w:rsid w:val="00524FF1"/>
    <w:rsid w:val="00527C6E"/>
    <w:rsid w:val="00530285"/>
    <w:rsid w:val="00530DDA"/>
    <w:rsid w:val="0054017D"/>
    <w:rsid w:val="005440E8"/>
    <w:rsid w:val="00545233"/>
    <w:rsid w:val="00547585"/>
    <w:rsid w:val="0055014C"/>
    <w:rsid w:val="00551494"/>
    <w:rsid w:val="00551B56"/>
    <w:rsid w:val="00552FBB"/>
    <w:rsid w:val="00555BA3"/>
    <w:rsid w:val="00556EBC"/>
    <w:rsid w:val="005570F0"/>
    <w:rsid w:val="00560C8E"/>
    <w:rsid w:val="005613AA"/>
    <w:rsid w:val="00564F94"/>
    <w:rsid w:val="00567874"/>
    <w:rsid w:val="00570F4C"/>
    <w:rsid w:val="005745AE"/>
    <w:rsid w:val="005810A4"/>
    <w:rsid w:val="005811B1"/>
    <w:rsid w:val="00587916"/>
    <w:rsid w:val="005917DB"/>
    <w:rsid w:val="00592621"/>
    <w:rsid w:val="00592A35"/>
    <w:rsid w:val="00594454"/>
    <w:rsid w:val="00594EC4"/>
    <w:rsid w:val="00595725"/>
    <w:rsid w:val="00596D0A"/>
    <w:rsid w:val="005A0FF7"/>
    <w:rsid w:val="005A352C"/>
    <w:rsid w:val="005A4545"/>
    <w:rsid w:val="005A5B10"/>
    <w:rsid w:val="005A6962"/>
    <w:rsid w:val="005A6D97"/>
    <w:rsid w:val="005A7085"/>
    <w:rsid w:val="005B54BD"/>
    <w:rsid w:val="005C1CBE"/>
    <w:rsid w:val="005C1D6F"/>
    <w:rsid w:val="005D21B6"/>
    <w:rsid w:val="005D415D"/>
    <w:rsid w:val="005D512D"/>
    <w:rsid w:val="005E00EA"/>
    <w:rsid w:val="005E2A27"/>
    <w:rsid w:val="005E60A3"/>
    <w:rsid w:val="005E67F6"/>
    <w:rsid w:val="005E7599"/>
    <w:rsid w:val="005F0ACF"/>
    <w:rsid w:val="005F23F8"/>
    <w:rsid w:val="005F4A54"/>
    <w:rsid w:val="005F4A8D"/>
    <w:rsid w:val="005F703E"/>
    <w:rsid w:val="006009F7"/>
    <w:rsid w:val="0060160D"/>
    <w:rsid w:val="0060756E"/>
    <w:rsid w:val="006076BD"/>
    <w:rsid w:val="00610107"/>
    <w:rsid w:val="00612547"/>
    <w:rsid w:val="00620328"/>
    <w:rsid w:val="006228F7"/>
    <w:rsid w:val="00624029"/>
    <w:rsid w:val="00627682"/>
    <w:rsid w:val="00630914"/>
    <w:rsid w:val="0063396D"/>
    <w:rsid w:val="006341B4"/>
    <w:rsid w:val="00644845"/>
    <w:rsid w:val="006470EB"/>
    <w:rsid w:val="00652D04"/>
    <w:rsid w:val="006677B7"/>
    <w:rsid w:val="00677A53"/>
    <w:rsid w:val="0068035A"/>
    <w:rsid w:val="0068415A"/>
    <w:rsid w:val="00685C7B"/>
    <w:rsid w:val="00685DA7"/>
    <w:rsid w:val="00686833"/>
    <w:rsid w:val="0068777C"/>
    <w:rsid w:val="00694CE2"/>
    <w:rsid w:val="006963E3"/>
    <w:rsid w:val="00697B73"/>
    <w:rsid w:val="006A0532"/>
    <w:rsid w:val="006A0D98"/>
    <w:rsid w:val="006A70DF"/>
    <w:rsid w:val="006B0306"/>
    <w:rsid w:val="006B0DBA"/>
    <w:rsid w:val="006B3840"/>
    <w:rsid w:val="006B5227"/>
    <w:rsid w:val="006B63AE"/>
    <w:rsid w:val="006B78CA"/>
    <w:rsid w:val="006C1D98"/>
    <w:rsid w:val="006C1E67"/>
    <w:rsid w:val="006C4701"/>
    <w:rsid w:val="006C5DC3"/>
    <w:rsid w:val="006D20E0"/>
    <w:rsid w:val="006D43FA"/>
    <w:rsid w:val="006D4D35"/>
    <w:rsid w:val="006D53F7"/>
    <w:rsid w:val="006D76A8"/>
    <w:rsid w:val="006E0B4A"/>
    <w:rsid w:val="006E3E62"/>
    <w:rsid w:val="006F0D8A"/>
    <w:rsid w:val="006F3D4A"/>
    <w:rsid w:val="006F3DFE"/>
    <w:rsid w:val="006F687E"/>
    <w:rsid w:val="006F6C73"/>
    <w:rsid w:val="006F6D3E"/>
    <w:rsid w:val="00702FF2"/>
    <w:rsid w:val="00703509"/>
    <w:rsid w:val="00703C5F"/>
    <w:rsid w:val="0071126A"/>
    <w:rsid w:val="00711374"/>
    <w:rsid w:val="0071184F"/>
    <w:rsid w:val="0071276C"/>
    <w:rsid w:val="00715170"/>
    <w:rsid w:val="007234E9"/>
    <w:rsid w:val="00727F25"/>
    <w:rsid w:val="00732902"/>
    <w:rsid w:val="0073383B"/>
    <w:rsid w:val="00734285"/>
    <w:rsid w:val="007377B4"/>
    <w:rsid w:val="0074038A"/>
    <w:rsid w:val="00740629"/>
    <w:rsid w:val="00742054"/>
    <w:rsid w:val="007420FC"/>
    <w:rsid w:val="00745533"/>
    <w:rsid w:val="007458D3"/>
    <w:rsid w:val="00747EFF"/>
    <w:rsid w:val="007506C5"/>
    <w:rsid w:val="007527FF"/>
    <w:rsid w:val="00753752"/>
    <w:rsid w:val="00755F31"/>
    <w:rsid w:val="00756E06"/>
    <w:rsid w:val="00757FD9"/>
    <w:rsid w:val="007603BB"/>
    <w:rsid w:val="0076112F"/>
    <w:rsid w:val="00761BFC"/>
    <w:rsid w:val="0076441B"/>
    <w:rsid w:val="00764B87"/>
    <w:rsid w:val="00767913"/>
    <w:rsid w:val="00767A58"/>
    <w:rsid w:val="00773E8C"/>
    <w:rsid w:val="00775794"/>
    <w:rsid w:val="00776090"/>
    <w:rsid w:val="00780F62"/>
    <w:rsid w:val="00781A02"/>
    <w:rsid w:val="00784A38"/>
    <w:rsid w:val="00785CA5"/>
    <w:rsid w:val="0078646D"/>
    <w:rsid w:val="00787E63"/>
    <w:rsid w:val="007912BC"/>
    <w:rsid w:val="00795F85"/>
    <w:rsid w:val="00797821"/>
    <w:rsid w:val="007A3308"/>
    <w:rsid w:val="007A346B"/>
    <w:rsid w:val="007A64F3"/>
    <w:rsid w:val="007B1885"/>
    <w:rsid w:val="007B2635"/>
    <w:rsid w:val="007B45A9"/>
    <w:rsid w:val="007B4E5C"/>
    <w:rsid w:val="007B4ED1"/>
    <w:rsid w:val="007C2168"/>
    <w:rsid w:val="007C4555"/>
    <w:rsid w:val="007C4D9E"/>
    <w:rsid w:val="007D0AD2"/>
    <w:rsid w:val="007D0F86"/>
    <w:rsid w:val="007D294E"/>
    <w:rsid w:val="007D68C2"/>
    <w:rsid w:val="007E3E96"/>
    <w:rsid w:val="007E58B1"/>
    <w:rsid w:val="007E6E51"/>
    <w:rsid w:val="007E731E"/>
    <w:rsid w:val="007E7D7B"/>
    <w:rsid w:val="007F1786"/>
    <w:rsid w:val="007F28D7"/>
    <w:rsid w:val="007F3FFE"/>
    <w:rsid w:val="007F433D"/>
    <w:rsid w:val="00800B6C"/>
    <w:rsid w:val="0080344A"/>
    <w:rsid w:val="00806571"/>
    <w:rsid w:val="008067C4"/>
    <w:rsid w:val="00806F05"/>
    <w:rsid w:val="00807E59"/>
    <w:rsid w:val="0081021B"/>
    <w:rsid w:val="008145D1"/>
    <w:rsid w:val="0082287E"/>
    <w:rsid w:val="00822EE6"/>
    <w:rsid w:val="00826899"/>
    <w:rsid w:val="00833DF5"/>
    <w:rsid w:val="008363F9"/>
    <w:rsid w:val="00837216"/>
    <w:rsid w:val="0084054A"/>
    <w:rsid w:val="00843B2A"/>
    <w:rsid w:val="008450FE"/>
    <w:rsid w:val="008505B1"/>
    <w:rsid w:val="00852061"/>
    <w:rsid w:val="008523B1"/>
    <w:rsid w:val="00853076"/>
    <w:rsid w:val="00854A6D"/>
    <w:rsid w:val="00855CF7"/>
    <w:rsid w:val="00855E83"/>
    <w:rsid w:val="00856E6F"/>
    <w:rsid w:val="008647BD"/>
    <w:rsid w:val="00865E8E"/>
    <w:rsid w:val="00866933"/>
    <w:rsid w:val="008678CA"/>
    <w:rsid w:val="008712A4"/>
    <w:rsid w:val="00877061"/>
    <w:rsid w:val="00877191"/>
    <w:rsid w:val="00877CF8"/>
    <w:rsid w:val="00881F3E"/>
    <w:rsid w:val="00882691"/>
    <w:rsid w:val="00882BB0"/>
    <w:rsid w:val="008830E9"/>
    <w:rsid w:val="00885A61"/>
    <w:rsid w:val="00885F0D"/>
    <w:rsid w:val="00887C9F"/>
    <w:rsid w:val="00887E25"/>
    <w:rsid w:val="00887F02"/>
    <w:rsid w:val="0089068F"/>
    <w:rsid w:val="008918A3"/>
    <w:rsid w:val="008967C2"/>
    <w:rsid w:val="00896C9F"/>
    <w:rsid w:val="00896CC7"/>
    <w:rsid w:val="008A04BB"/>
    <w:rsid w:val="008A12C1"/>
    <w:rsid w:val="008A199D"/>
    <w:rsid w:val="008A4012"/>
    <w:rsid w:val="008A43BF"/>
    <w:rsid w:val="008A790A"/>
    <w:rsid w:val="008B5692"/>
    <w:rsid w:val="008C0A24"/>
    <w:rsid w:val="008D1BBF"/>
    <w:rsid w:val="008D71C5"/>
    <w:rsid w:val="008E0192"/>
    <w:rsid w:val="008E32E5"/>
    <w:rsid w:val="008E4FE0"/>
    <w:rsid w:val="008E50CE"/>
    <w:rsid w:val="008E6A8E"/>
    <w:rsid w:val="008F64D4"/>
    <w:rsid w:val="008F67E5"/>
    <w:rsid w:val="008F7C65"/>
    <w:rsid w:val="0090260A"/>
    <w:rsid w:val="009117DC"/>
    <w:rsid w:val="00913453"/>
    <w:rsid w:val="00913A03"/>
    <w:rsid w:val="00920226"/>
    <w:rsid w:val="0092060D"/>
    <w:rsid w:val="00921BB7"/>
    <w:rsid w:val="00925AC5"/>
    <w:rsid w:val="00930EF2"/>
    <w:rsid w:val="00932FBD"/>
    <w:rsid w:val="0093309C"/>
    <w:rsid w:val="009350AD"/>
    <w:rsid w:val="00936BDE"/>
    <w:rsid w:val="00941DB3"/>
    <w:rsid w:val="0094651C"/>
    <w:rsid w:val="00950B13"/>
    <w:rsid w:val="00952A94"/>
    <w:rsid w:val="0095368B"/>
    <w:rsid w:val="00953DE3"/>
    <w:rsid w:val="009543ED"/>
    <w:rsid w:val="0096210A"/>
    <w:rsid w:val="00964805"/>
    <w:rsid w:val="009649BB"/>
    <w:rsid w:val="0096764B"/>
    <w:rsid w:val="00967750"/>
    <w:rsid w:val="00971FFE"/>
    <w:rsid w:val="009746DF"/>
    <w:rsid w:val="00994C50"/>
    <w:rsid w:val="009975AA"/>
    <w:rsid w:val="009A11C2"/>
    <w:rsid w:val="009A1792"/>
    <w:rsid w:val="009B0FE0"/>
    <w:rsid w:val="009B4ED4"/>
    <w:rsid w:val="009B6DC3"/>
    <w:rsid w:val="009C4C62"/>
    <w:rsid w:val="009C4E4F"/>
    <w:rsid w:val="009C7363"/>
    <w:rsid w:val="009C764B"/>
    <w:rsid w:val="009D2477"/>
    <w:rsid w:val="009D35CC"/>
    <w:rsid w:val="009D442F"/>
    <w:rsid w:val="009D4685"/>
    <w:rsid w:val="009D47A3"/>
    <w:rsid w:val="009D50C6"/>
    <w:rsid w:val="009D72DB"/>
    <w:rsid w:val="009D7609"/>
    <w:rsid w:val="009E161F"/>
    <w:rsid w:val="009E6085"/>
    <w:rsid w:val="009F012F"/>
    <w:rsid w:val="009F1900"/>
    <w:rsid w:val="009F228F"/>
    <w:rsid w:val="009F35D1"/>
    <w:rsid w:val="009F37FA"/>
    <w:rsid w:val="009F55D9"/>
    <w:rsid w:val="009F7E81"/>
    <w:rsid w:val="00A0086A"/>
    <w:rsid w:val="00A00AB1"/>
    <w:rsid w:val="00A01FDC"/>
    <w:rsid w:val="00A043C3"/>
    <w:rsid w:val="00A07C54"/>
    <w:rsid w:val="00A112F5"/>
    <w:rsid w:val="00A12651"/>
    <w:rsid w:val="00A1389D"/>
    <w:rsid w:val="00A143E9"/>
    <w:rsid w:val="00A213ED"/>
    <w:rsid w:val="00A246BA"/>
    <w:rsid w:val="00A2508E"/>
    <w:rsid w:val="00A27942"/>
    <w:rsid w:val="00A305E4"/>
    <w:rsid w:val="00A30FBE"/>
    <w:rsid w:val="00A32B4C"/>
    <w:rsid w:val="00A34324"/>
    <w:rsid w:val="00A35482"/>
    <w:rsid w:val="00A35923"/>
    <w:rsid w:val="00A35D49"/>
    <w:rsid w:val="00A36962"/>
    <w:rsid w:val="00A37435"/>
    <w:rsid w:val="00A40CE3"/>
    <w:rsid w:val="00A41A12"/>
    <w:rsid w:val="00A42913"/>
    <w:rsid w:val="00A4306F"/>
    <w:rsid w:val="00A46005"/>
    <w:rsid w:val="00A50ED1"/>
    <w:rsid w:val="00A54887"/>
    <w:rsid w:val="00A613C0"/>
    <w:rsid w:val="00A62387"/>
    <w:rsid w:val="00A64482"/>
    <w:rsid w:val="00A6482D"/>
    <w:rsid w:val="00A6485F"/>
    <w:rsid w:val="00A653A3"/>
    <w:rsid w:val="00A66B7D"/>
    <w:rsid w:val="00A66D3E"/>
    <w:rsid w:val="00A675CF"/>
    <w:rsid w:val="00A7153E"/>
    <w:rsid w:val="00A71E42"/>
    <w:rsid w:val="00A72320"/>
    <w:rsid w:val="00A73907"/>
    <w:rsid w:val="00A745AF"/>
    <w:rsid w:val="00A754B3"/>
    <w:rsid w:val="00A813E0"/>
    <w:rsid w:val="00A82791"/>
    <w:rsid w:val="00A83BC9"/>
    <w:rsid w:val="00A8736A"/>
    <w:rsid w:val="00A90EB0"/>
    <w:rsid w:val="00A93D22"/>
    <w:rsid w:val="00A9482A"/>
    <w:rsid w:val="00AA255D"/>
    <w:rsid w:val="00AA28F6"/>
    <w:rsid w:val="00AA4676"/>
    <w:rsid w:val="00AA5E03"/>
    <w:rsid w:val="00AA7F04"/>
    <w:rsid w:val="00AB184A"/>
    <w:rsid w:val="00AB1FE2"/>
    <w:rsid w:val="00AB3EF7"/>
    <w:rsid w:val="00AB44C8"/>
    <w:rsid w:val="00AC1B9D"/>
    <w:rsid w:val="00AC3549"/>
    <w:rsid w:val="00AC396D"/>
    <w:rsid w:val="00AC79CD"/>
    <w:rsid w:val="00AD314E"/>
    <w:rsid w:val="00AD3F66"/>
    <w:rsid w:val="00AD49F6"/>
    <w:rsid w:val="00AD7B15"/>
    <w:rsid w:val="00AE3189"/>
    <w:rsid w:val="00AE4CA0"/>
    <w:rsid w:val="00AE6D88"/>
    <w:rsid w:val="00AF323F"/>
    <w:rsid w:val="00AF402A"/>
    <w:rsid w:val="00AF4613"/>
    <w:rsid w:val="00AF5109"/>
    <w:rsid w:val="00AF64AF"/>
    <w:rsid w:val="00B00FC5"/>
    <w:rsid w:val="00B033A1"/>
    <w:rsid w:val="00B04F9E"/>
    <w:rsid w:val="00B061E9"/>
    <w:rsid w:val="00B07013"/>
    <w:rsid w:val="00B12C22"/>
    <w:rsid w:val="00B14348"/>
    <w:rsid w:val="00B160F6"/>
    <w:rsid w:val="00B16E96"/>
    <w:rsid w:val="00B2153F"/>
    <w:rsid w:val="00B2369F"/>
    <w:rsid w:val="00B23BBE"/>
    <w:rsid w:val="00B23C0A"/>
    <w:rsid w:val="00B278C1"/>
    <w:rsid w:val="00B321D4"/>
    <w:rsid w:val="00B35FF1"/>
    <w:rsid w:val="00B402A3"/>
    <w:rsid w:val="00B4318B"/>
    <w:rsid w:val="00B43305"/>
    <w:rsid w:val="00B43F60"/>
    <w:rsid w:val="00B447E8"/>
    <w:rsid w:val="00B468B3"/>
    <w:rsid w:val="00B509F7"/>
    <w:rsid w:val="00B518E6"/>
    <w:rsid w:val="00B5457F"/>
    <w:rsid w:val="00B54EEE"/>
    <w:rsid w:val="00B602CF"/>
    <w:rsid w:val="00B6263C"/>
    <w:rsid w:val="00B66E5D"/>
    <w:rsid w:val="00B70A06"/>
    <w:rsid w:val="00B71271"/>
    <w:rsid w:val="00B71D45"/>
    <w:rsid w:val="00B72CE5"/>
    <w:rsid w:val="00B73F45"/>
    <w:rsid w:val="00B74340"/>
    <w:rsid w:val="00B77A16"/>
    <w:rsid w:val="00B83196"/>
    <w:rsid w:val="00B862F5"/>
    <w:rsid w:val="00B87749"/>
    <w:rsid w:val="00B879D8"/>
    <w:rsid w:val="00B91FD5"/>
    <w:rsid w:val="00B95B62"/>
    <w:rsid w:val="00B96F42"/>
    <w:rsid w:val="00BA2442"/>
    <w:rsid w:val="00BA3A80"/>
    <w:rsid w:val="00BA6C92"/>
    <w:rsid w:val="00BA7225"/>
    <w:rsid w:val="00BA7E40"/>
    <w:rsid w:val="00BB368F"/>
    <w:rsid w:val="00BB4CCC"/>
    <w:rsid w:val="00BB4DB7"/>
    <w:rsid w:val="00BB595F"/>
    <w:rsid w:val="00BB6276"/>
    <w:rsid w:val="00BB6566"/>
    <w:rsid w:val="00BB7855"/>
    <w:rsid w:val="00BC1486"/>
    <w:rsid w:val="00BC3B5F"/>
    <w:rsid w:val="00BC6E3D"/>
    <w:rsid w:val="00BC7626"/>
    <w:rsid w:val="00BC7B3D"/>
    <w:rsid w:val="00BD07D9"/>
    <w:rsid w:val="00BD1A6E"/>
    <w:rsid w:val="00BD5C03"/>
    <w:rsid w:val="00BD5FDF"/>
    <w:rsid w:val="00BD71FB"/>
    <w:rsid w:val="00BD79CE"/>
    <w:rsid w:val="00BE05DE"/>
    <w:rsid w:val="00BE0B50"/>
    <w:rsid w:val="00BE0B8E"/>
    <w:rsid w:val="00BE0BA3"/>
    <w:rsid w:val="00BE39CD"/>
    <w:rsid w:val="00BE63EF"/>
    <w:rsid w:val="00BF22EF"/>
    <w:rsid w:val="00BF313B"/>
    <w:rsid w:val="00BF4B22"/>
    <w:rsid w:val="00C00BC2"/>
    <w:rsid w:val="00C015DD"/>
    <w:rsid w:val="00C02A78"/>
    <w:rsid w:val="00C035E4"/>
    <w:rsid w:val="00C04F2D"/>
    <w:rsid w:val="00C050DC"/>
    <w:rsid w:val="00C07D01"/>
    <w:rsid w:val="00C10771"/>
    <w:rsid w:val="00C1085D"/>
    <w:rsid w:val="00C10939"/>
    <w:rsid w:val="00C1282E"/>
    <w:rsid w:val="00C141C1"/>
    <w:rsid w:val="00C17D90"/>
    <w:rsid w:val="00C2084A"/>
    <w:rsid w:val="00C209C3"/>
    <w:rsid w:val="00C21103"/>
    <w:rsid w:val="00C217BC"/>
    <w:rsid w:val="00C21C95"/>
    <w:rsid w:val="00C22F7E"/>
    <w:rsid w:val="00C23069"/>
    <w:rsid w:val="00C247C8"/>
    <w:rsid w:val="00C251B6"/>
    <w:rsid w:val="00C267AB"/>
    <w:rsid w:val="00C318D0"/>
    <w:rsid w:val="00C32DEB"/>
    <w:rsid w:val="00C34C42"/>
    <w:rsid w:val="00C378EB"/>
    <w:rsid w:val="00C403E7"/>
    <w:rsid w:val="00C506D8"/>
    <w:rsid w:val="00C5229E"/>
    <w:rsid w:val="00C550DB"/>
    <w:rsid w:val="00C566B1"/>
    <w:rsid w:val="00C61CDF"/>
    <w:rsid w:val="00C62688"/>
    <w:rsid w:val="00C6460C"/>
    <w:rsid w:val="00C7604B"/>
    <w:rsid w:val="00C761F1"/>
    <w:rsid w:val="00C81CA5"/>
    <w:rsid w:val="00C91E59"/>
    <w:rsid w:val="00C92EF8"/>
    <w:rsid w:val="00C95DA0"/>
    <w:rsid w:val="00C95DB8"/>
    <w:rsid w:val="00C96912"/>
    <w:rsid w:val="00C972BB"/>
    <w:rsid w:val="00CA0EE7"/>
    <w:rsid w:val="00CA1E8A"/>
    <w:rsid w:val="00CA40A3"/>
    <w:rsid w:val="00CB11D4"/>
    <w:rsid w:val="00CB58D7"/>
    <w:rsid w:val="00CC1BDA"/>
    <w:rsid w:val="00CC37AA"/>
    <w:rsid w:val="00CC47D3"/>
    <w:rsid w:val="00CC48E7"/>
    <w:rsid w:val="00CC5096"/>
    <w:rsid w:val="00CC5D52"/>
    <w:rsid w:val="00CC6C28"/>
    <w:rsid w:val="00CD0F20"/>
    <w:rsid w:val="00CD54A7"/>
    <w:rsid w:val="00CD56F4"/>
    <w:rsid w:val="00CE0E92"/>
    <w:rsid w:val="00CE2802"/>
    <w:rsid w:val="00CE370D"/>
    <w:rsid w:val="00CE5D25"/>
    <w:rsid w:val="00CF3B33"/>
    <w:rsid w:val="00D005AF"/>
    <w:rsid w:val="00D03097"/>
    <w:rsid w:val="00D03A20"/>
    <w:rsid w:val="00D05C9C"/>
    <w:rsid w:val="00D06A4B"/>
    <w:rsid w:val="00D07D0B"/>
    <w:rsid w:val="00D128C6"/>
    <w:rsid w:val="00D13FB1"/>
    <w:rsid w:val="00D16FD0"/>
    <w:rsid w:val="00D238E3"/>
    <w:rsid w:val="00D256A8"/>
    <w:rsid w:val="00D33447"/>
    <w:rsid w:val="00D34FE0"/>
    <w:rsid w:val="00D35588"/>
    <w:rsid w:val="00D37107"/>
    <w:rsid w:val="00D37D6D"/>
    <w:rsid w:val="00D401F7"/>
    <w:rsid w:val="00D43AF9"/>
    <w:rsid w:val="00D43DA8"/>
    <w:rsid w:val="00D43E50"/>
    <w:rsid w:val="00D44134"/>
    <w:rsid w:val="00D45066"/>
    <w:rsid w:val="00D45A60"/>
    <w:rsid w:val="00D474C8"/>
    <w:rsid w:val="00D53E51"/>
    <w:rsid w:val="00D55AF2"/>
    <w:rsid w:val="00D57F47"/>
    <w:rsid w:val="00D60994"/>
    <w:rsid w:val="00D61946"/>
    <w:rsid w:val="00D63313"/>
    <w:rsid w:val="00D64786"/>
    <w:rsid w:val="00D64BB5"/>
    <w:rsid w:val="00D71A29"/>
    <w:rsid w:val="00D7270F"/>
    <w:rsid w:val="00D74840"/>
    <w:rsid w:val="00D74E63"/>
    <w:rsid w:val="00D80596"/>
    <w:rsid w:val="00D84CD6"/>
    <w:rsid w:val="00D91D57"/>
    <w:rsid w:val="00D92217"/>
    <w:rsid w:val="00DA0558"/>
    <w:rsid w:val="00DA5648"/>
    <w:rsid w:val="00DA7710"/>
    <w:rsid w:val="00DB1393"/>
    <w:rsid w:val="00DB3E9C"/>
    <w:rsid w:val="00DB5BA4"/>
    <w:rsid w:val="00DB7852"/>
    <w:rsid w:val="00DC088E"/>
    <w:rsid w:val="00DC0B2C"/>
    <w:rsid w:val="00DC0D73"/>
    <w:rsid w:val="00DC4E16"/>
    <w:rsid w:val="00DC6022"/>
    <w:rsid w:val="00DD1076"/>
    <w:rsid w:val="00DD25D7"/>
    <w:rsid w:val="00DD2FC3"/>
    <w:rsid w:val="00DD37E6"/>
    <w:rsid w:val="00DD51FF"/>
    <w:rsid w:val="00DD604C"/>
    <w:rsid w:val="00DE0DC6"/>
    <w:rsid w:val="00DE23F1"/>
    <w:rsid w:val="00DE412C"/>
    <w:rsid w:val="00DE5FF6"/>
    <w:rsid w:val="00DF22B0"/>
    <w:rsid w:val="00E0064D"/>
    <w:rsid w:val="00E0146F"/>
    <w:rsid w:val="00E014D6"/>
    <w:rsid w:val="00E025D1"/>
    <w:rsid w:val="00E06F02"/>
    <w:rsid w:val="00E07168"/>
    <w:rsid w:val="00E11D39"/>
    <w:rsid w:val="00E15B24"/>
    <w:rsid w:val="00E15F39"/>
    <w:rsid w:val="00E175B6"/>
    <w:rsid w:val="00E21553"/>
    <w:rsid w:val="00E21AE0"/>
    <w:rsid w:val="00E27183"/>
    <w:rsid w:val="00E27979"/>
    <w:rsid w:val="00E27C1E"/>
    <w:rsid w:val="00E327E8"/>
    <w:rsid w:val="00E373A0"/>
    <w:rsid w:val="00E402D2"/>
    <w:rsid w:val="00E42B36"/>
    <w:rsid w:val="00E44A2F"/>
    <w:rsid w:val="00E45755"/>
    <w:rsid w:val="00E465F5"/>
    <w:rsid w:val="00E470B3"/>
    <w:rsid w:val="00E4721F"/>
    <w:rsid w:val="00E52936"/>
    <w:rsid w:val="00E52C84"/>
    <w:rsid w:val="00E5393B"/>
    <w:rsid w:val="00E53E95"/>
    <w:rsid w:val="00E549FE"/>
    <w:rsid w:val="00E61619"/>
    <w:rsid w:val="00E6640A"/>
    <w:rsid w:val="00E70AD9"/>
    <w:rsid w:val="00E72777"/>
    <w:rsid w:val="00E73D5E"/>
    <w:rsid w:val="00E76BB8"/>
    <w:rsid w:val="00E91921"/>
    <w:rsid w:val="00EA2E13"/>
    <w:rsid w:val="00EA3892"/>
    <w:rsid w:val="00EA5D08"/>
    <w:rsid w:val="00EA67D4"/>
    <w:rsid w:val="00EA71C7"/>
    <w:rsid w:val="00EB0BD5"/>
    <w:rsid w:val="00EB2FDB"/>
    <w:rsid w:val="00EB4D5B"/>
    <w:rsid w:val="00EB5E55"/>
    <w:rsid w:val="00EB67CE"/>
    <w:rsid w:val="00EC178D"/>
    <w:rsid w:val="00EC24D7"/>
    <w:rsid w:val="00EC28C2"/>
    <w:rsid w:val="00EC5159"/>
    <w:rsid w:val="00ED2A61"/>
    <w:rsid w:val="00ED33AD"/>
    <w:rsid w:val="00ED4D07"/>
    <w:rsid w:val="00ED5DBC"/>
    <w:rsid w:val="00ED6A14"/>
    <w:rsid w:val="00ED75F5"/>
    <w:rsid w:val="00EE73FF"/>
    <w:rsid w:val="00EE74CC"/>
    <w:rsid w:val="00EF10F6"/>
    <w:rsid w:val="00EF236D"/>
    <w:rsid w:val="00EF3BC6"/>
    <w:rsid w:val="00EF49CC"/>
    <w:rsid w:val="00EF61A2"/>
    <w:rsid w:val="00F023D8"/>
    <w:rsid w:val="00F02717"/>
    <w:rsid w:val="00F05D38"/>
    <w:rsid w:val="00F06C7C"/>
    <w:rsid w:val="00F07B9A"/>
    <w:rsid w:val="00F07D4B"/>
    <w:rsid w:val="00F1019D"/>
    <w:rsid w:val="00F121D7"/>
    <w:rsid w:val="00F12E8D"/>
    <w:rsid w:val="00F145E5"/>
    <w:rsid w:val="00F14807"/>
    <w:rsid w:val="00F14B90"/>
    <w:rsid w:val="00F15F25"/>
    <w:rsid w:val="00F1756D"/>
    <w:rsid w:val="00F20FBD"/>
    <w:rsid w:val="00F21E93"/>
    <w:rsid w:val="00F23950"/>
    <w:rsid w:val="00F2456C"/>
    <w:rsid w:val="00F263A0"/>
    <w:rsid w:val="00F27E48"/>
    <w:rsid w:val="00F31310"/>
    <w:rsid w:val="00F31DDE"/>
    <w:rsid w:val="00F3378F"/>
    <w:rsid w:val="00F34317"/>
    <w:rsid w:val="00F35437"/>
    <w:rsid w:val="00F36E91"/>
    <w:rsid w:val="00F40049"/>
    <w:rsid w:val="00F42F6C"/>
    <w:rsid w:val="00F44E47"/>
    <w:rsid w:val="00F45E1C"/>
    <w:rsid w:val="00F47DE1"/>
    <w:rsid w:val="00F47E39"/>
    <w:rsid w:val="00F51CC8"/>
    <w:rsid w:val="00F522C9"/>
    <w:rsid w:val="00F54452"/>
    <w:rsid w:val="00F55B18"/>
    <w:rsid w:val="00F56F15"/>
    <w:rsid w:val="00F614B5"/>
    <w:rsid w:val="00F6181D"/>
    <w:rsid w:val="00F658DE"/>
    <w:rsid w:val="00F65C8A"/>
    <w:rsid w:val="00F65D8F"/>
    <w:rsid w:val="00F70259"/>
    <w:rsid w:val="00F730AD"/>
    <w:rsid w:val="00F753AD"/>
    <w:rsid w:val="00F76298"/>
    <w:rsid w:val="00F80709"/>
    <w:rsid w:val="00F905E1"/>
    <w:rsid w:val="00F93795"/>
    <w:rsid w:val="00F95E49"/>
    <w:rsid w:val="00F96234"/>
    <w:rsid w:val="00FA20AD"/>
    <w:rsid w:val="00FA297F"/>
    <w:rsid w:val="00FA2B0F"/>
    <w:rsid w:val="00FA5A4F"/>
    <w:rsid w:val="00FB118E"/>
    <w:rsid w:val="00FB63AB"/>
    <w:rsid w:val="00FB7DA9"/>
    <w:rsid w:val="00FC0065"/>
    <w:rsid w:val="00FC1457"/>
    <w:rsid w:val="00FC30A9"/>
    <w:rsid w:val="00FD1062"/>
    <w:rsid w:val="00FD2C4B"/>
    <w:rsid w:val="00FD41C2"/>
    <w:rsid w:val="00FD6B30"/>
    <w:rsid w:val="00FD6F40"/>
    <w:rsid w:val="00FE0B49"/>
    <w:rsid w:val="00FE2F49"/>
    <w:rsid w:val="00FE4869"/>
    <w:rsid w:val="00FE57B7"/>
    <w:rsid w:val="00FE596F"/>
    <w:rsid w:val="00FF31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D25EAB0-0566-49D3-A37F-39FBCC12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19"/>
    <w:pPr>
      <w:tabs>
        <w:tab w:val="left" w:pos="567"/>
      </w:tabs>
    </w:pPr>
    <w:rPr>
      <w:rFonts w:ascii="Arial" w:hAnsi="Arial"/>
      <w:sz w:val="22"/>
    </w:rPr>
  </w:style>
  <w:style w:type="paragraph" w:styleId="Heading1">
    <w:name w:val="heading 1"/>
    <w:next w:val="BodyText"/>
    <w:qFormat/>
    <w:rsid w:val="00302519"/>
    <w:pPr>
      <w:spacing w:after="200"/>
      <w:jc w:val="both"/>
      <w:outlineLvl w:val="0"/>
    </w:pPr>
    <w:rPr>
      <w:rFonts w:ascii="Arial" w:hAnsi="Arial" w:cs="Arial"/>
      <w:b/>
      <w:bCs/>
      <w:smallCaps/>
      <w:kern w:val="32"/>
      <w:sz w:val="28"/>
      <w:szCs w:val="24"/>
      <w:lang w:val="en-GB" w:eastAsia="en-GB"/>
    </w:rPr>
  </w:style>
  <w:style w:type="paragraph" w:styleId="Heading2">
    <w:name w:val="heading 2"/>
    <w:basedOn w:val="Heading1"/>
    <w:next w:val="BodyText"/>
    <w:qFormat/>
    <w:rsid w:val="008450FE"/>
    <w:pPr>
      <w:outlineLvl w:val="1"/>
    </w:pPr>
    <w:rPr>
      <w:b w:val="0"/>
      <w:bCs w:val="0"/>
      <w:iCs/>
      <w:smallCaps w:val="0"/>
    </w:rPr>
  </w:style>
  <w:style w:type="paragraph" w:styleId="Heading3">
    <w:name w:val="heading 3"/>
    <w:basedOn w:val="Heading2"/>
    <w:qFormat/>
    <w:rsid w:val="008450FE"/>
    <w:pPr>
      <w:spacing w:after="100"/>
      <w:outlineLvl w:val="2"/>
    </w:pPr>
    <w:rPr>
      <w:b/>
      <w:bCs/>
      <w:sz w:val="24"/>
      <w:szCs w:val="28"/>
      <w:lang w:val="en-NZ"/>
    </w:rPr>
  </w:style>
  <w:style w:type="paragraph" w:styleId="Heading4">
    <w:name w:val="heading 4"/>
    <w:basedOn w:val="Heading3"/>
    <w:next w:val="BodyText"/>
    <w:qFormat/>
    <w:rsid w:val="008450FE"/>
    <w:pPr>
      <w:outlineLvl w:val="3"/>
    </w:pPr>
    <w:rPr>
      <w:b w:val="0"/>
      <w:bCs w:val="0"/>
      <w:szCs w:val="24"/>
    </w:rPr>
  </w:style>
  <w:style w:type="paragraph" w:styleId="Heading5">
    <w:name w:val="heading 5"/>
    <w:basedOn w:val="Heading4"/>
    <w:next w:val="Normal"/>
    <w:qFormat/>
    <w:rsid w:val="008450FE"/>
    <w:pPr>
      <w:outlineLvl w:val="4"/>
    </w:pPr>
    <w:rPr>
      <w:b/>
      <w:bCs/>
      <w:iCs w:val="0"/>
    </w:rPr>
  </w:style>
  <w:style w:type="paragraph" w:styleId="Heading6">
    <w:name w:val="heading 6"/>
    <w:basedOn w:val="Normal"/>
    <w:next w:val="Normal"/>
    <w:qFormat/>
    <w:rsid w:val="008450FE"/>
    <w:pPr>
      <w:spacing w:before="240" w:after="60"/>
      <w:outlineLvl w:val="5"/>
    </w:pPr>
    <w:rPr>
      <w:b/>
      <w:bCs/>
      <w:szCs w:val="22"/>
    </w:rPr>
  </w:style>
  <w:style w:type="paragraph" w:styleId="Heading7">
    <w:name w:val="heading 7"/>
    <w:basedOn w:val="Normal"/>
    <w:next w:val="Normal"/>
    <w:qFormat/>
    <w:rsid w:val="008450FE"/>
    <w:pPr>
      <w:spacing w:before="240" w:after="60"/>
      <w:outlineLvl w:val="6"/>
    </w:pPr>
  </w:style>
  <w:style w:type="paragraph" w:styleId="Heading8">
    <w:name w:val="heading 8"/>
    <w:basedOn w:val="Normal"/>
    <w:next w:val="Normal"/>
    <w:qFormat/>
    <w:rsid w:val="008450FE"/>
    <w:pPr>
      <w:spacing w:before="240" w:after="60"/>
      <w:outlineLvl w:val="7"/>
    </w:pPr>
    <w:rPr>
      <w:i/>
      <w:iCs/>
    </w:rPr>
  </w:style>
  <w:style w:type="paragraph" w:styleId="Heading9">
    <w:name w:val="heading 9"/>
    <w:basedOn w:val="Normal"/>
    <w:next w:val="Normal"/>
    <w:qFormat/>
    <w:rsid w:val="008450FE"/>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302519"/>
    <w:pPr>
      <w:spacing w:after="180"/>
      <w:ind w:left="720"/>
      <w:jc w:val="both"/>
    </w:pPr>
    <w:rPr>
      <w:rFonts w:ascii="Arial" w:hAnsi="Arial"/>
      <w:sz w:val="22"/>
      <w:szCs w:val="24"/>
      <w:lang w:val="en-GB" w:eastAsia="en-GB"/>
    </w:rPr>
  </w:style>
  <w:style w:type="paragraph" w:styleId="BodyText2">
    <w:name w:val="Body Text 2"/>
    <w:basedOn w:val="BodyText"/>
    <w:rsid w:val="00B6263C"/>
    <w:pPr>
      <w:ind w:left="1134"/>
    </w:pPr>
  </w:style>
  <w:style w:type="paragraph" w:customStyle="1" w:styleId="Rpt-Title">
    <w:name w:val="Rpt-Title"/>
    <w:next w:val="BodyText"/>
    <w:rsid w:val="00302519"/>
    <w:pPr>
      <w:spacing w:after="240"/>
      <w:jc w:val="both"/>
    </w:pPr>
    <w:rPr>
      <w:rFonts w:ascii="Arial" w:hAnsi="Arial" w:cs="Arial"/>
      <w:b/>
      <w:bCs/>
      <w:caps/>
      <w:kern w:val="32"/>
      <w:sz w:val="28"/>
      <w:szCs w:val="28"/>
      <w:lang w:eastAsia="en-GB"/>
    </w:rPr>
  </w:style>
  <w:style w:type="paragraph" w:customStyle="1" w:styleId="Fileno">
    <w:name w:val="File no"/>
    <w:basedOn w:val="Normal"/>
    <w:next w:val="BodyText"/>
    <w:rsid w:val="00302519"/>
    <w:rPr>
      <w:szCs w:val="24"/>
    </w:rPr>
  </w:style>
  <w:style w:type="paragraph" w:styleId="Footer">
    <w:name w:val="footer"/>
    <w:basedOn w:val="Normal"/>
    <w:rsid w:val="009C4C62"/>
    <w:pPr>
      <w:tabs>
        <w:tab w:val="center" w:pos="4153"/>
        <w:tab w:val="right" w:pos="8306"/>
      </w:tabs>
    </w:pPr>
  </w:style>
  <w:style w:type="paragraph" w:styleId="Header">
    <w:name w:val="header"/>
    <w:basedOn w:val="Normal"/>
    <w:rsid w:val="00D61946"/>
    <w:pPr>
      <w:tabs>
        <w:tab w:val="center" w:pos="4153"/>
        <w:tab w:val="right" w:pos="8306"/>
      </w:tabs>
    </w:pPr>
  </w:style>
  <w:style w:type="paragraph" w:customStyle="1" w:styleId="commitee">
    <w:name w:val="commitee"/>
    <w:basedOn w:val="Fileno"/>
    <w:rsid w:val="00D16FD0"/>
    <w:pPr>
      <w:jc w:val="both"/>
    </w:pPr>
    <w:rPr>
      <w:b/>
      <w:caps/>
    </w:rPr>
  </w:style>
  <w:style w:type="paragraph" w:styleId="ListBullet2">
    <w:name w:val="List Bullet 2"/>
    <w:basedOn w:val="BodyText2"/>
    <w:rsid w:val="00EE74CC"/>
    <w:pPr>
      <w:numPr>
        <w:numId w:val="13"/>
      </w:numPr>
      <w:tabs>
        <w:tab w:val="clear" w:pos="2058"/>
        <w:tab w:val="num" w:pos="1620"/>
      </w:tabs>
      <w:spacing w:after="90"/>
      <w:ind w:left="1620" w:hanging="540"/>
    </w:pPr>
    <w:rPr>
      <w:lang w:val="en-NZ"/>
    </w:rPr>
  </w:style>
  <w:style w:type="paragraph" w:customStyle="1" w:styleId="ListBullet1">
    <w:name w:val="List Bullet 1"/>
    <w:basedOn w:val="BodyText"/>
    <w:rsid w:val="00EE74CC"/>
    <w:pPr>
      <w:numPr>
        <w:numId w:val="12"/>
      </w:numPr>
      <w:tabs>
        <w:tab w:val="clear" w:pos="1494"/>
        <w:tab w:val="num" w:pos="1080"/>
      </w:tabs>
      <w:ind w:left="1080" w:hanging="540"/>
    </w:pPr>
    <w:rPr>
      <w:lang w:val="en-NZ"/>
    </w:rPr>
  </w:style>
  <w:style w:type="paragraph" w:styleId="BalloonText">
    <w:name w:val="Balloon Text"/>
    <w:basedOn w:val="Normal"/>
    <w:semiHidden/>
    <w:rsid w:val="00587916"/>
    <w:rPr>
      <w:rFonts w:ascii="Tahoma" w:hAnsi="Tahoma" w:cs="Tahoma"/>
      <w:sz w:val="16"/>
      <w:szCs w:val="16"/>
    </w:rPr>
  </w:style>
  <w:style w:type="paragraph" w:customStyle="1" w:styleId="Number">
    <w:name w:val="Number"/>
    <w:basedOn w:val="Normal"/>
    <w:rsid w:val="004A1409"/>
    <w:pPr>
      <w:numPr>
        <w:numId w:val="33"/>
      </w:numPr>
      <w:jc w:val="both"/>
    </w:pPr>
  </w:style>
  <w:style w:type="numbering" w:customStyle="1" w:styleId="CurrentList1">
    <w:name w:val="Current List1"/>
    <w:rsid w:val="00C22F7E"/>
    <w:pPr>
      <w:numPr>
        <w:numId w:val="39"/>
      </w:numPr>
    </w:pPr>
  </w:style>
  <w:style w:type="numbering" w:customStyle="1" w:styleId="Style1">
    <w:name w:val="Style1"/>
    <w:rsid w:val="00C22F7E"/>
    <w:pPr>
      <w:numPr>
        <w:numId w:val="40"/>
      </w:numPr>
    </w:pPr>
  </w:style>
  <w:style w:type="numbering" w:customStyle="1" w:styleId="Style3">
    <w:name w:val="Style3"/>
    <w:rsid w:val="00C22F7E"/>
    <w:pPr>
      <w:numPr>
        <w:numId w:val="41"/>
      </w:numPr>
    </w:pPr>
  </w:style>
  <w:style w:type="character" w:customStyle="1" w:styleId="BodyTextChar">
    <w:name w:val="Body Text Char"/>
    <w:link w:val="BodyText"/>
    <w:rsid w:val="00386BC2"/>
    <w:rPr>
      <w:rFonts w:ascii="Arial" w:hAnsi="Arial"/>
      <w:sz w:val="22"/>
      <w:szCs w:val="24"/>
      <w:lang w:val="en-GB" w:eastAsia="en-GB" w:bidi="ar-SA"/>
    </w:rPr>
  </w:style>
  <w:style w:type="character" w:styleId="Hyperlink">
    <w:name w:val="Hyperlink"/>
    <w:rsid w:val="00386BC2"/>
    <w:rPr>
      <w:color w:val="0000FF"/>
      <w:u w:val="single"/>
    </w:rPr>
  </w:style>
  <w:style w:type="paragraph" w:styleId="ListParagraph">
    <w:name w:val="List Paragraph"/>
    <w:basedOn w:val="Normal"/>
    <w:uiPriority w:val="34"/>
    <w:qFormat/>
    <w:rsid w:val="00853076"/>
    <w:pPr>
      <w:tabs>
        <w:tab w:val="clear" w:pos="567"/>
      </w:tabs>
      <w:spacing w:after="160" w:line="259" w:lineRule="auto"/>
      <w:ind w:left="720"/>
      <w:contextualSpacing/>
    </w:pPr>
    <w:rPr>
      <w:rFonts w:ascii="Calibri" w:eastAsia="Calibri" w:hAnsi="Calibri"/>
      <w:szCs w:val="22"/>
      <w:lang w:eastAsia="en-US"/>
    </w:rPr>
  </w:style>
  <w:style w:type="table" w:styleId="TableGrid">
    <w:name w:val="Table Grid"/>
    <w:basedOn w:val="TableNormal"/>
    <w:uiPriority w:val="59"/>
    <w:rsid w:val="00853076"/>
    <w:pPr>
      <w:tabs>
        <w:tab w:val="left" w:pos="56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3417">
      <w:bodyDiv w:val="1"/>
      <w:marLeft w:val="0"/>
      <w:marRight w:val="0"/>
      <w:marTop w:val="0"/>
      <w:marBottom w:val="0"/>
      <w:divBdr>
        <w:top w:val="none" w:sz="0" w:space="0" w:color="auto"/>
        <w:left w:val="none" w:sz="0" w:space="0" w:color="auto"/>
        <w:bottom w:val="none" w:sz="0" w:space="0" w:color="auto"/>
        <w:right w:val="none" w:sz="0" w:space="0" w:color="auto"/>
      </w:divBdr>
    </w:div>
    <w:div w:id="784230229">
      <w:bodyDiv w:val="1"/>
      <w:marLeft w:val="0"/>
      <w:marRight w:val="0"/>
      <w:marTop w:val="0"/>
      <w:marBottom w:val="0"/>
      <w:divBdr>
        <w:top w:val="none" w:sz="0" w:space="0" w:color="auto"/>
        <w:left w:val="none" w:sz="0" w:space="0" w:color="auto"/>
        <w:bottom w:val="none" w:sz="0" w:space="0" w:color="auto"/>
        <w:right w:val="none" w:sz="0" w:space="0" w:color="auto"/>
      </w:divBdr>
    </w:div>
    <w:div w:id="1332835244">
      <w:bodyDiv w:val="1"/>
      <w:marLeft w:val="0"/>
      <w:marRight w:val="0"/>
      <w:marTop w:val="0"/>
      <w:marBottom w:val="0"/>
      <w:divBdr>
        <w:top w:val="none" w:sz="0" w:space="0" w:color="auto"/>
        <w:left w:val="none" w:sz="0" w:space="0" w:color="auto"/>
        <w:bottom w:val="none" w:sz="0" w:space="0" w:color="auto"/>
        <w:right w:val="none" w:sz="0" w:space="0" w:color="auto"/>
      </w:divBdr>
    </w:div>
    <w:div w:id="1408920487">
      <w:bodyDiv w:val="1"/>
      <w:marLeft w:val="0"/>
      <w:marRight w:val="0"/>
      <w:marTop w:val="0"/>
      <w:marBottom w:val="0"/>
      <w:divBdr>
        <w:top w:val="none" w:sz="0" w:space="0" w:color="auto"/>
        <w:left w:val="none" w:sz="0" w:space="0" w:color="auto"/>
        <w:bottom w:val="none" w:sz="0" w:space="0" w:color="auto"/>
        <w:right w:val="none" w:sz="0" w:space="0" w:color="auto"/>
      </w:divBdr>
    </w:div>
    <w:div w:id="1538008826">
      <w:bodyDiv w:val="1"/>
      <w:marLeft w:val="0"/>
      <w:marRight w:val="0"/>
      <w:marTop w:val="0"/>
      <w:marBottom w:val="0"/>
      <w:divBdr>
        <w:top w:val="none" w:sz="0" w:space="0" w:color="auto"/>
        <w:left w:val="none" w:sz="0" w:space="0" w:color="auto"/>
        <w:bottom w:val="none" w:sz="0" w:space="0" w:color="auto"/>
        <w:right w:val="none" w:sz="0" w:space="0" w:color="auto"/>
      </w:divBdr>
    </w:div>
    <w:div w:id="18987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sha.tod@kapiticoast.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erine.mclellan@kapiticoast.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cdc\services\CustomSettings\OfficeTemplates\KCDCReportPubl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15AE-40DC-4249-8E41-79EF25E5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KCDCReportPublic</Template>
  <TotalTime>0</TotalTime>
  <Pages>9</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3</vt:lpstr>
    </vt:vector>
  </TitlesOfParts>
  <Company>PC Training Solutions</Company>
  <LinksUpToDate>false</LinksUpToDate>
  <CharactersWithSpaces>10902</CharactersWithSpaces>
  <SharedDoc>false</SharedDoc>
  <HLinks>
    <vt:vector size="48" baseType="variant">
      <vt:variant>
        <vt:i4>4522031</vt:i4>
      </vt:variant>
      <vt:variant>
        <vt:i4>42</vt:i4>
      </vt:variant>
      <vt:variant>
        <vt:i4>0</vt:i4>
      </vt:variant>
      <vt:variant>
        <vt:i4>5</vt:i4>
      </vt:variant>
      <vt:variant>
        <vt:lpwstr>http://ed/otcs/llisapi.dll?func=ll&amp;objaction=overview&amp;objid=1254174&amp;logStopConditionID=179212_187211575_1_open</vt:lpwstr>
      </vt:variant>
      <vt:variant>
        <vt:lpwstr/>
      </vt:variant>
      <vt:variant>
        <vt:i4>4522031</vt:i4>
      </vt:variant>
      <vt:variant>
        <vt:i4>39</vt:i4>
      </vt:variant>
      <vt:variant>
        <vt:i4>0</vt:i4>
      </vt:variant>
      <vt:variant>
        <vt:i4>5</vt:i4>
      </vt:variant>
      <vt:variant>
        <vt:lpwstr>http://ed/otcs/llisapi.dll?func=ll&amp;objaction=overview&amp;objid=1254174&amp;logStopConditionID=179212_187211575_1_open</vt:lpwstr>
      </vt:variant>
      <vt:variant>
        <vt:lpwstr/>
      </vt:variant>
      <vt:variant>
        <vt:i4>4325417</vt:i4>
      </vt:variant>
      <vt:variant>
        <vt:i4>36</vt:i4>
      </vt:variant>
      <vt:variant>
        <vt:i4>0</vt:i4>
      </vt:variant>
      <vt:variant>
        <vt:i4>5</vt:i4>
      </vt:variant>
      <vt:variant>
        <vt:lpwstr>http://ed/otcs/llisapi.dll?func=ll&amp;objaction=overview&amp;objid=1245141&amp;logStopConditionID=179182_187213495_1_open</vt:lpwstr>
      </vt:variant>
      <vt:variant>
        <vt:lpwstr/>
      </vt:variant>
      <vt:variant>
        <vt:i4>4915246</vt:i4>
      </vt:variant>
      <vt:variant>
        <vt:i4>33</vt:i4>
      </vt:variant>
      <vt:variant>
        <vt:i4>0</vt:i4>
      </vt:variant>
      <vt:variant>
        <vt:i4>5</vt:i4>
      </vt:variant>
      <vt:variant>
        <vt:lpwstr>http://ed/otcs/llisapi.dll?func=ll&amp;objaction=overview&amp;objid=1354024&amp;logStopConditionID=179170_187213495_1_open</vt:lpwstr>
      </vt:variant>
      <vt:variant>
        <vt:lpwstr/>
      </vt:variant>
      <vt:variant>
        <vt:i4>786437</vt:i4>
      </vt:variant>
      <vt:variant>
        <vt:i4>30</vt:i4>
      </vt:variant>
      <vt:variant>
        <vt:i4>0</vt:i4>
      </vt:variant>
      <vt:variant>
        <vt:i4>5</vt:i4>
      </vt:variant>
      <vt:variant>
        <vt:lpwstr/>
      </vt:variant>
      <vt:variant>
        <vt:lpwstr>_Significance_Decision_Tree_1</vt:lpwstr>
      </vt:variant>
      <vt:variant>
        <vt:i4>4653097</vt:i4>
      </vt:variant>
      <vt:variant>
        <vt:i4>27</vt:i4>
      </vt:variant>
      <vt:variant>
        <vt:i4>0</vt:i4>
      </vt:variant>
      <vt:variant>
        <vt:i4>5</vt:i4>
      </vt:variant>
      <vt:variant>
        <vt:lpwstr>http://ed/otcs/llisapi.dll?func=ll&amp;objaction=overview&amp;objid=1223542&amp;logStopConditionID=179166_187214135_1_open</vt:lpwstr>
      </vt:variant>
      <vt:variant>
        <vt:lpwstr/>
      </vt:variant>
      <vt:variant>
        <vt:i4>7143481</vt:i4>
      </vt:variant>
      <vt:variant>
        <vt:i4>24</vt:i4>
      </vt:variant>
      <vt:variant>
        <vt:i4>0</vt:i4>
      </vt:variant>
      <vt:variant>
        <vt:i4>5</vt:i4>
      </vt:variant>
      <vt:variant>
        <vt:lpwstr>https://www.kapiticoast.govt.nz/Your-Council/Planning/annual-and-long-term-plans/our-vision-and-direction/</vt:lpwstr>
      </vt:variant>
      <vt:variant>
        <vt:lpwstr/>
      </vt:variant>
      <vt:variant>
        <vt:i4>7929969</vt:i4>
      </vt:variant>
      <vt:variant>
        <vt:i4>21</vt:i4>
      </vt:variant>
      <vt:variant>
        <vt:i4>0</vt:i4>
      </vt:variant>
      <vt:variant>
        <vt:i4>5</vt:i4>
      </vt:variant>
      <vt:variant>
        <vt:lpwstr>https://www.kapiticoast.govt.nz/globalassets/our-district/tngata-whenua/te-whakaminenga-o-kpiti/memorandum-of-partnership-signed-5-dec-2017.pdf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Jacquie Muir</dc:creator>
  <cp:keywords/>
  <dc:description/>
  <cp:lastModifiedBy>Sara Foote</cp:lastModifiedBy>
  <cp:revision>2</cp:revision>
  <cp:lastPrinted>2019-07-31T03:14:00Z</cp:lastPrinted>
  <dcterms:created xsi:type="dcterms:W3CDTF">2019-08-19T21:21:00Z</dcterms:created>
  <dcterms:modified xsi:type="dcterms:W3CDTF">2019-08-19T21:21:00Z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S_TITLE">
    <vt:lpwstr>RS-19-878-Annual Alcohol and Licensing Report 2018/19</vt:lpwstr>
  </property>
  <property fmtid="{D5CDD505-2E9C-101B-9397-08002B2CF9AE}" pid="3" name="NCS_SYSTEM">
    <vt:lpwstr>CR</vt:lpwstr>
  </property>
  <property fmtid="{D5CDD505-2E9C-101B-9397-08002B2CF9AE}" pid="4" name="NCS_AREA">
    <vt:lpwstr>PU</vt:lpwstr>
  </property>
  <property fmtid="{D5CDD505-2E9C-101B-9397-08002B2CF9AE}" pid="5" name="NCS_REFERENCE">
    <vt:lpwstr>000</vt:lpwstr>
  </property>
  <property fmtid="{D5CDD505-2E9C-101B-9397-08002B2CF9AE}" pid="6" name="NCS_YEAR">
    <vt:lpwstr>19</vt:lpwstr>
  </property>
  <property fmtid="{D5CDD505-2E9C-101B-9397-08002B2CF9AE}" pid="7" name="NCS_VALUATION">
    <vt:lpwstr>RS-19-878</vt:lpwstr>
  </property>
  <property fmtid="{D5CDD505-2E9C-101B-9397-08002B2CF9AE}" pid="8" name="Title">
    <vt:lpwstr>Annual Alcohol and Licensing Report 2018/19</vt:lpwstr>
  </property>
  <property fmtid="{D5CDD505-2E9C-101B-9397-08002B2CF9AE}" pid="9" name="Author">
    <vt:lpwstr>Katherine McLellan</vt:lpwstr>
  </property>
  <property fmtid="{D5CDD505-2E9C-101B-9397-08002B2CF9AE}" pid="10" name="BusinessUnit">
    <vt:lpwstr>RS</vt:lpwstr>
  </property>
  <property fmtid="{D5CDD505-2E9C-101B-9397-08002B2CF9AE}" pid="11" name="Year">
    <vt:lpwstr>2019</vt:lpwstr>
  </property>
  <property fmtid="{D5CDD505-2E9C-101B-9397-08002B2CF9AE}" pid="12" name="Month">
    <vt:lpwstr>7</vt:lpwstr>
  </property>
  <property fmtid="{D5CDD505-2E9C-101B-9397-08002B2CF9AE}" pid="13" name="Addressee">
    <vt:lpwstr>Chairperson and Committee Members</vt:lpwstr>
  </property>
  <property fmtid="{D5CDD505-2E9C-101B-9397-08002B2CF9AE}" pid="14" name="Committee">
    <vt:lpwstr>Operations &amp; Finance Committee</vt:lpwstr>
  </property>
  <property fmtid="{D5CDD505-2E9C-101B-9397-08002B2CF9AE}" pid="15" name="Keywords">
    <vt:lpwstr> </vt:lpwstr>
  </property>
  <property fmtid="{D5CDD505-2E9C-101B-9397-08002B2CF9AE}" pid="16" name="DocumentNumber">
    <vt:lpwstr>RS-19-878</vt:lpwstr>
  </property>
  <property fmtid="{D5CDD505-2E9C-101B-9397-08002B2CF9AE}" pid="17" name="FileNumber">
    <vt:lpwstr>000</vt:lpwstr>
  </property>
  <property fmtid="{D5CDD505-2E9C-101B-9397-08002B2CF9AE}" pid="18" name="Exclusion">
    <vt:lpwstr>Public</vt:lpwstr>
  </property>
  <property fmtid="{D5CDD505-2E9C-101B-9397-08002B2CF9AE}" pid="19" name="DateOfMeeting">
    <vt:lpwstr>15 August 2019</vt:lpwstr>
  </property>
  <property fmtid="{D5CDD505-2E9C-101B-9397-08002B2CF9AE}" pid="20" name="Purpose">
    <vt:lpwstr> For Information</vt:lpwstr>
  </property>
  <property fmtid="{D5CDD505-2E9C-101B-9397-08002B2CF9AE}" pid="21" name="Approval">
    <vt:lpwstr>Natasha Tod</vt:lpwstr>
  </property>
</Properties>
</file>